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 w:cs="华文中宋"/>
          <w:bCs/>
          <w:kern w:val="0"/>
          <w:sz w:val="44"/>
          <w:szCs w:val="44"/>
          <w:lang w:val="zh-CN"/>
        </w:rPr>
      </w:pPr>
      <w:r>
        <w:rPr>
          <w:rFonts w:hint="eastAsia" w:ascii="方正小标宋简体" w:eastAsia="方正小标宋简体" w:cs="华文中宋"/>
          <w:bCs/>
          <w:kern w:val="0"/>
          <w:sz w:val="44"/>
          <w:szCs w:val="44"/>
          <w:lang w:val="zh-CN"/>
        </w:rPr>
        <w:t>福州市城市节约用水奖励办法</w:t>
      </w:r>
    </w:p>
    <w:p>
      <w:pPr>
        <w:spacing w:line="480" w:lineRule="exact"/>
        <w:jc w:val="center"/>
        <w:rPr>
          <w:rFonts w:ascii="方正小标宋简体" w:eastAsia="方正小标宋简体" w:cs="华文中宋"/>
          <w:bCs/>
          <w:kern w:val="0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before="156" w:line="48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b/>
          <w:bCs/>
          <w:kern w:val="0"/>
          <w:sz w:val="32"/>
          <w:szCs w:val="32"/>
          <w:lang w:val="zh-CN"/>
        </w:rPr>
        <w:t>第一条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 xml:space="preserve"> 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为进一步推进城市节约用水管理工作，增强全市人民节约用水意识，提高水资源利用率，根据《中华人民共和国水法》《城市节约用水管理规定》《福建省节约用水管理办法》《福州市城市供水管理办法》</w:t>
      </w:r>
      <w:bookmarkStart w:id="0" w:name="_Hlk42626384"/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等</w:t>
      </w:r>
      <w:r>
        <w:rPr>
          <w:rFonts w:hint="eastAsia" w:ascii="仿宋_GB2312" w:eastAsia="仿宋_GB2312"/>
          <w:sz w:val="32"/>
          <w:szCs w:val="32"/>
        </w:rPr>
        <w:t>有关法律法</w:t>
      </w:r>
      <w:bookmarkEnd w:id="0"/>
      <w:r>
        <w:rPr>
          <w:rFonts w:hint="eastAsia" w:ascii="仿宋_GB2312" w:eastAsia="仿宋_GB2312"/>
          <w:sz w:val="32"/>
          <w:szCs w:val="32"/>
        </w:rPr>
        <w:t>规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，结合我市实际，制定本办法。</w:t>
      </w:r>
      <w:bookmarkStart w:id="4" w:name="_GoBack"/>
      <w:bookmarkEnd w:id="4"/>
    </w:p>
    <w:p>
      <w:pPr>
        <w:autoSpaceDE w:val="0"/>
        <w:autoSpaceDN w:val="0"/>
        <w:adjustRightInd w:val="0"/>
        <w:spacing w:line="48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b/>
          <w:bCs/>
          <w:kern w:val="0"/>
          <w:sz w:val="32"/>
          <w:szCs w:val="32"/>
          <w:lang w:val="zh-CN"/>
        </w:rPr>
        <w:t>第二条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 xml:space="preserve"> 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本办法适用于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福州市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在城市节约用水工作中取得显著成绩的企业、单位、居民小区和个人的奖励。</w:t>
      </w:r>
    </w:p>
    <w:p>
      <w:pPr>
        <w:autoSpaceDE w:val="0"/>
        <w:autoSpaceDN w:val="0"/>
        <w:adjustRightInd w:val="0"/>
        <w:spacing w:line="48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黑体"/>
          <w:b/>
          <w:bCs/>
          <w:kern w:val="0"/>
          <w:sz w:val="32"/>
          <w:szCs w:val="32"/>
          <w:lang w:val="zh-CN"/>
        </w:rPr>
        <w:t>第三条</w:t>
      </w:r>
      <w:r>
        <w:rPr>
          <w:rFonts w:ascii="仿宋_GB2312" w:eastAsia="仿宋_GB2312" w:cs="黑体"/>
          <w:kern w:val="0"/>
          <w:sz w:val="32"/>
          <w:szCs w:val="32"/>
          <w:lang w:val="zh-CN"/>
        </w:rPr>
        <w:t xml:space="preserve"> 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节水型企业、单位奖励评选需满足下列条件：</w:t>
      </w:r>
    </w:p>
    <w:p>
      <w:pPr>
        <w:autoSpaceDE w:val="0"/>
        <w:autoSpaceDN w:val="0"/>
        <w:adjustRightInd w:val="0"/>
        <w:spacing w:line="480" w:lineRule="exact"/>
        <w:ind w:firstLine="640"/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（一）按照要求开展水平衡测试工作，并获得</w:t>
      </w:r>
      <w:r>
        <w:rPr>
          <w:rFonts w:hint="eastAsia" w:ascii="Times New Roman" w:hAnsi="Times New Roman" w:eastAsia="仿宋_GB2312"/>
          <w:sz w:val="32"/>
          <w:szCs w:val="32"/>
        </w:rPr>
        <w:t>“水平衡评价报告书”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；</w:t>
      </w:r>
    </w:p>
    <w:p>
      <w:pPr>
        <w:autoSpaceDE w:val="0"/>
        <w:autoSpaceDN w:val="0"/>
        <w:adjustRightInd w:val="0"/>
        <w:spacing w:line="480" w:lineRule="exact"/>
        <w:ind w:firstLine="640"/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（二）获得市级“节水型企业”或“节水型单位”称号，取得显著节水成效；</w:t>
      </w:r>
    </w:p>
    <w:p>
      <w:pPr>
        <w:autoSpaceDE w:val="0"/>
        <w:autoSpaceDN w:val="0"/>
        <w:adjustRightInd w:val="0"/>
        <w:spacing w:line="480" w:lineRule="exact"/>
        <w:ind w:firstLine="640"/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（三）积极配合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福州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市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城乡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建设局（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以下简称“市建设局”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）的工作，无违反相关节水管理规定的行为。</w:t>
      </w:r>
    </w:p>
    <w:p>
      <w:pPr>
        <w:autoSpaceDE w:val="0"/>
        <w:autoSpaceDN w:val="0"/>
        <w:adjustRightInd w:val="0"/>
        <w:spacing w:line="48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按照以下标准进行奖励：</w:t>
      </w:r>
    </w:p>
    <w:p>
      <w:pPr>
        <w:autoSpaceDE w:val="0"/>
        <w:autoSpaceDN w:val="0"/>
        <w:adjustRightInd w:val="0"/>
        <w:spacing w:line="48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年用水量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10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万立方米及以下的奖励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1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万元；</w:t>
      </w:r>
    </w:p>
    <w:p>
      <w:pPr>
        <w:autoSpaceDE w:val="0"/>
        <w:autoSpaceDN w:val="0"/>
        <w:adjustRightInd w:val="0"/>
        <w:spacing w:line="48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年用水量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10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万立方米至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20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万立方米的奖励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1.5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万元；</w:t>
      </w:r>
    </w:p>
    <w:p>
      <w:pPr>
        <w:autoSpaceDE w:val="0"/>
        <w:autoSpaceDN w:val="0"/>
        <w:adjustRightInd w:val="0"/>
        <w:spacing w:line="48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年用水量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20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万立方米至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30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万立方米的奖励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2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万元；</w:t>
      </w:r>
    </w:p>
    <w:p>
      <w:pPr>
        <w:autoSpaceDE w:val="0"/>
        <w:autoSpaceDN w:val="0"/>
        <w:adjustRightInd w:val="0"/>
        <w:spacing w:line="48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年用水量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30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万立方米以上的奖励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3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万元；</w:t>
      </w:r>
    </w:p>
    <w:p>
      <w:pPr>
        <w:autoSpaceDE w:val="0"/>
        <w:autoSpaceDN w:val="0"/>
        <w:adjustRightInd w:val="0"/>
        <w:spacing w:line="48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获得节水型企业、单位称号的单位，每四年复查一次，首次获得该称号的按以上标准的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100%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给予奖励，复查的按以上标准的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50%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给予奖励。</w:t>
      </w:r>
    </w:p>
    <w:p>
      <w:pPr>
        <w:autoSpaceDE w:val="0"/>
        <w:autoSpaceDN w:val="0"/>
        <w:adjustRightInd w:val="0"/>
        <w:spacing w:line="48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黑体"/>
          <w:b/>
          <w:bCs/>
          <w:kern w:val="0"/>
          <w:sz w:val="32"/>
          <w:szCs w:val="32"/>
          <w:lang w:val="zh-CN"/>
        </w:rPr>
        <w:t>第四条</w:t>
      </w:r>
      <w:r>
        <w:rPr>
          <w:rFonts w:ascii="仿宋_GB2312" w:eastAsia="仿宋_GB2312" w:cs="黑体"/>
          <w:kern w:val="0"/>
          <w:sz w:val="32"/>
          <w:szCs w:val="32"/>
          <w:lang w:val="zh-CN"/>
        </w:rPr>
        <w:t xml:space="preserve"> 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节水型居民小区奖励评选需满足下列条件：</w:t>
      </w:r>
    </w:p>
    <w:p>
      <w:pPr>
        <w:autoSpaceDE w:val="0"/>
        <w:autoSpaceDN w:val="0"/>
        <w:adjustRightInd w:val="0"/>
        <w:spacing w:line="480" w:lineRule="exact"/>
        <w:ind w:firstLine="641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（一）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积极开展创建“节水型居民小区”活动，节水型器具普及率达到</w:t>
      </w:r>
      <w:r>
        <w:rPr>
          <w:rFonts w:ascii="Times New Roman" w:hAnsi="Times New Roman" w:eastAsia="仿宋_GB2312" w:cs="仿宋_GB2312"/>
          <w:kern w:val="0"/>
          <w:sz w:val="32"/>
          <w:szCs w:val="32"/>
          <w:lang w:val="zh-CN"/>
        </w:rPr>
        <w:t>100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%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，并获得市级“节水型居民小区”称号；</w:t>
      </w:r>
    </w:p>
    <w:p>
      <w:pPr>
        <w:autoSpaceDE w:val="0"/>
        <w:autoSpaceDN w:val="0"/>
        <w:adjustRightInd w:val="0"/>
        <w:spacing w:line="480" w:lineRule="exact"/>
        <w:ind w:firstLine="641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（二）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定期开展节水宣传，提高居民节水意识；</w:t>
      </w:r>
    </w:p>
    <w:p>
      <w:pPr>
        <w:autoSpaceDE w:val="0"/>
        <w:autoSpaceDN w:val="0"/>
        <w:adjustRightInd w:val="0"/>
        <w:spacing w:line="480" w:lineRule="exact"/>
        <w:ind w:firstLine="641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（三）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积极配合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市建设局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的工作，无违反相关节水管理规定的行为。</w:t>
      </w:r>
    </w:p>
    <w:p>
      <w:pPr>
        <w:autoSpaceDE w:val="0"/>
        <w:autoSpaceDN w:val="0"/>
        <w:adjustRightInd w:val="0"/>
        <w:spacing w:line="48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按照以下标准进行奖励：</w:t>
      </w:r>
    </w:p>
    <w:p>
      <w:pPr>
        <w:autoSpaceDE w:val="0"/>
        <w:autoSpaceDN w:val="0"/>
        <w:adjustRightInd w:val="0"/>
        <w:spacing w:line="480" w:lineRule="exact"/>
        <w:ind w:firstLine="641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居民小区</w:t>
      </w:r>
      <w:r>
        <w:rPr>
          <w:rFonts w:ascii="Times New Roman" w:hAnsi="Times New Roman" w:eastAsia="仿宋_GB2312" w:cs="仿宋_GB2312"/>
          <w:kern w:val="0"/>
          <w:sz w:val="32"/>
          <w:szCs w:val="32"/>
          <w:lang w:val="zh-CN"/>
        </w:rPr>
        <w:t>500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户及以下的奖励</w:t>
      </w:r>
      <w:r>
        <w:rPr>
          <w:rFonts w:ascii="Times New Roman" w:hAnsi="Times New Roman" w:eastAsia="仿宋_GB2312" w:cs="仿宋_GB2312"/>
          <w:kern w:val="0"/>
          <w:sz w:val="32"/>
          <w:szCs w:val="32"/>
          <w:lang w:val="zh-CN"/>
        </w:rPr>
        <w:t>1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万元；</w:t>
      </w:r>
    </w:p>
    <w:p>
      <w:pPr>
        <w:autoSpaceDE w:val="0"/>
        <w:autoSpaceDN w:val="0"/>
        <w:adjustRightInd w:val="0"/>
        <w:spacing w:line="480" w:lineRule="exact"/>
        <w:ind w:firstLine="641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居民小区</w:t>
      </w:r>
      <w:r>
        <w:rPr>
          <w:rFonts w:ascii="Times New Roman" w:hAnsi="Times New Roman" w:eastAsia="仿宋_GB2312" w:cs="仿宋_GB2312"/>
          <w:kern w:val="0"/>
          <w:sz w:val="32"/>
          <w:szCs w:val="32"/>
          <w:lang w:val="zh-CN"/>
        </w:rPr>
        <w:t>500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户以上的奖励</w:t>
      </w:r>
      <w:r>
        <w:rPr>
          <w:rFonts w:ascii="Times New Roman" w:hAnsi="Times New Roman" w:eastAsia="仿宋_GB2312" w:cs="仿宋_GB2312"/>
          <w:kern w:val="0"/>
          <w:sz w:val="32"/>
          <w:szCs w:val="32"/>
          <w:lang w:val="zh-CN"/>
        </w:rPr>
        <w:t>2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万元；</w:t>
      </w:r>
    </w:p>
    <w:p>
      <w:pPr>
        <w:autoSpaceDE w:val="0"/>
        <w:autoSpaceDN w:val="0"/>
        <w:adjustRightInd w:val="0"/>
        <w:spacing w:line="480" w:lineRule="exact"/>
        <w:ind w:firstLine="641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获节水型居民小区称号的单位，每四年复查一次，首次获得该称号的按以上标准的</w:t>
      </w:r>
      <w:r>
        <w:rPr>
          <w:rFonts w:ascii="Times New Roman" w:hAnsi="Times New Roman" w:eastAsia="仿宋_GB2312" w:cs="仿宋_GB2312"/>
          <w:kern w:val="0"/>
          <w:sz w:val="32"/>
          <w:szCs w:val="32"/>
          <w:lang w:val="zh-CN"/>
        </w:rPr>
        <w:t>100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%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给予奖励，复查的按以上标准的</w:t>
      </w:r>
      <w:r>
        <w:rPr>
          <w:rFonts w:ascii="Times New Roman" w:hAnsi="Times New Roman" w:eastAsia="仿宋_GB2312" w:cs="仿宋_GB2312"/>
          <w:kern w:val="0"/>
          <w:sz w:val="32"/>
          <w:szCs w:val="32"/>
          <w:lang w:val="zh-CN"/>
        </w:rPr>
        <w:t>50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%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给予奖励。</w:t>
      </w:r>
    </w:p>
    <w:p>
      <w:pPr>
        <w:autoSpaceDE w:val="0"/>
        <w:autoSpaceDN w:val="0"/>
        <w:adjustRightInd w:val="0"/>
        <w:spacing w:line="48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黑体"/>
          <w:b/>
          <w:bCs/>
          <w:kern w:val="0"/>
          <w:sz w:val="32"/>
          <w:szCs w:val="32"/>
          <w:lang w:val="zh-CN"/>
        </w:rPr>
        <w:t>第五条</w:t>
      </w:r>
      <w:r>
        <w:rPr>
          <w:rFonts w:ascii="仿宋_GB2312" w:eastAsia="仿宋_GB2312" w:cs="黑体"/>
          <w:kern w:val="0"/>
          <w:sz w:val="32"/>
          <w:szCs w:val="32"/>
          <w:lang w:val="zh-CN"/>
        </w:rPr>
        <w:t xml:space="preserve"> 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节水先进个人奖励评选需满足下列条件之一：</w:t>
      </w:r>
    </w:p>
    <w:p>
      <w:pPr>
        <w:autoSpaceDE w:val="0"/>
        <w:autoSpaceDN w:val="0"/>
        <w:adjustRightInd w:val="0"/>
        <w:spacing w:line="48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（一）在节水宣传、管理和水资源综合利用方面表现突出，或节约用水方面做出突出成绩；</w:t>
      </w:r>
    </w:p>
    <w:p>
      <w:pPr>
        <w:autoSpaceDE w:val="0"/>
        <w:autoSpaceDN w:val="0"/>
        <w:adjustRightInd w:val="0"/>
        <w:spacing w:line="48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（二）对严重浪费用水和擅自取水行为予以举报和制止，经查证属实；</w:t>
      </w:r>
    </w:p>
    <w:p>
      <w:pPr>
        <w:autoSpaceDE w:val="0"/>
        <w:autoSpaceDN w:val="0"/>
        <w:adjustRightInd w:val="0"/>
        <w:spacing w:line="48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（三）在研制、生产和推广应用节水技术、工艺、产品、器具等方面成绩突出。</w:t>
      </w:r>
    </w:p>
    <w:p>
      <w:pPr>
        <w:autoSpaceDE w:val="0"/>
        <w:autoSpaceDN w:val="0"/>
        <w:adjustRightInd w:val="0"/>
        <w:spacing w:line="48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按照每个先进个人奖励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1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千元的标准给予奖励。</w:t>
      </w:r>
    </w:p>
    <w:p>
      <w:pPr>
        <w:autoSpaceDE w:val="0"/>
        <w:autoSpaceDN w:val="0"/>
        <w:adjustRightInd w:val="0"/>
        <w:spacing w:line="48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b/>
          <w:bCs/>
          <w:kern w:val="0"/>
          <w:sz w:val="32"/>
          <w:szCs w:val="32"/>
          <w:lang w:val="zh-CN"/>
        </w:rPr>
        <w:t>第六条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 xml:space="preserve"> 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节水型企业、单位、居民小区和节水先进个人按以下程序组织评选：</w:t>
      </w:r>
    </w:p>
    <w:p>
      <w:pPr>
        <w:autoSpaceDE w:val="0"/>
        <w:autoSpaceDN w:val="0"/>
        <w:adjustRightInd w:val="0"/>
        <w:spacing w:line="48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楷体"/>
          <w:kern w:val="0"/>
          <w:sz w:val="32"/>
          <w:szCs w:val="32"/>
          <w:lang w:val="zh-CN"/>
        </w:rPr>
        <w:t>（一）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每年第一季度由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市建设局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根据本年度奖励金确定名额，原则上节水型企业、单位、居民小区、节水先进个人名额均不超过2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个，公开向社会征集节水型企业、单位、居民小区和节水先进个人；</w:t>
      </w:r>
    </w:p>
    <w:p>
      <w:pPr>
        <w:autoSpaceDE w:val="0"/>
        <w:autoSpaceDN w:val="0"/>
        <w:adjustRightInd w:val="0"/>
        <w:spacing w:line="48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楷体"/>
          <w:kern w:val="0"/>
          <w:sz w:val="32"/>
          <w:szCs w:val="32"/>
          <w:lang w:val="zh-CN"/>
        </w:rPr>
        <w:t>（二）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申报的节水型企业、单位、居民小区和节水先进个人向市建设局提供证明材料；</w:t>
      </w:r>
    </w:p>
    <w:p>
      <w:pPr>
        <w:autoSpaceDE w:val="0"/>
        <w:autoSpaceDN w:val="0"/>
        <w:adjustRightInd w:val="0"/>
        <w:spacing w:line="48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楷体"/>
          <w:kern w:val="0"/>
          <w:sz w:val="32"/>
          <w:szCs w:val="32"/>
          <w:lang w:val="zh-CN"/>
        </w:rPr>
        <w:t>（三）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市建设局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对证明材料进行审阅和现场核实后拟定获奖名单，在市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建设局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官网向社会公示，公示时间不少于</w:t>
      </w:r>
      <w:r>
        <w:rPr>
          <w:rFonts w:ascii="Times New Roman" w:hAnsi="Times New Roman" w:eastAsia="仿宋_GB2312" w:cs="仿宋_GB2312"/>
          <w:kern w:val="0"/>
          <w:sz w:val="32"/>
          <w:szCs w:val="32"/>
          <w:lang w:val="zh-CN"/>
        </w:rPr>
        <w:t>7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天，接受群众监督。公示期结束无异议的，颁发证书和奖金，</w:t>
      </w:r>
      <w:bookmarkStart w:id="1" w:name="_Hlk50450554"/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有异议的，市建设局重新调查核实。</w:t>
      </w:r>
    </w:p>
    <w:bookmarkEnd w:id="1"/>
    <w:p>
      <w:pPr>
        <w:autoSpaceDE w:val="0"/>
        <w:autoSpaceDN w:val="0"/>
        <w:adjustRightInd w:val="0"/>
        <w:spacing w:line="480" w:lineRule="exact"/>
        <w:ind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kern w:val="0"/>
          <w:sz w:val="32"/>
          <w:szCs w:val="32"/>
        </w:rPr>
        <w:t>第七条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年度奖励金从各属地征收的超计划（定额）用水加价水费中列支，每年可以用于奖励的金额，根据上一年度</w:t>
      </w:r>
      <w:bookmarkStart w:id="2" w:name="_Hlk50451757"/>
      <w:r>
        <w:rPr>
          <w:rFonts w:hint="eastAsia" w:ascii="仿宋_GB2312" w:eastAsia="仿宋_GB2312" w:cs="仿宋_GB2312"/>
          <w:kern w:val="0"/>
          <w:sz w:val="32"/>
          <w:szCs w:val="32"/>
        </w:rPr>
        <w:t>超计划（定额）用水加价水费</w:t>
      </w:r>
      <w:bookmarkEnd w:id="2"/>
      <w:r>
        <w:rPr>
          <w:rFonts w:hint="eastAsia" w:ascii="仿宋_GB2312" w:eastAsia="仿宋_GB2312" w:cs="仿宋_GB2312"/>
          <w:kern w:val="0"/>
          <w:sz w:val="32"/>
          <w:szCs w:val="32"/>
        </w:rPr>
        <w:t>收入和支出项目情况，</w:t>
      </w:r>
      <w:bookmarkStart w:id="3" w:name="_Hlk57794771"/>
      <w:r>
        <w:rPr>
          <w:rFonts w:hint="eastAsia" w:ascii="仿宋_GB2312" w:eastAsia="仿宋_GB2312" w:cs="仿宋_GB2312"/>
          <w:kern w:val="0"/>
          <w:sz w:val="32"/>
          <w:szCs w:val="32"/>
        </w:rPr>
        <w:t>在年初预算中合理确定本年度奖励金</w:t>
      </w:r>
      <w:bookmarkEnd w:id="3"/>
      <w:r>
        <w:rPr>
          <w:rFonts w:hint="eastAsia" w:ascii="仿宋_GB2312" w:eastAsia="仿宋_GB2312" w:cs="仿宋_GB2312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480" w:lineRule="exact"/>
        <w:ind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kern w:val="0"/>
          <w:sz w:val="32"/>
          <w:szCs w:val="32"/>
        </w:rPr>
        <w:t>第八条</w:t>
      </w:r>
      <w:r>
        <w:rPr>
          <w:rFonts w:hint="eastAsia" w:ascii="仿宋_GB2312" w:eastAsia="仿宋_GB2312" w:cs="仿宋_GB2312"/>
          <w:kern w:val="0"/>
          <w:sz w:val="32"/>
          <w:szCs w:val="32"/>
        </w:rPr>
        <w:t xml:space="preserve"> 参评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企业、单位、居民小区和个人存在弄虚作假的，取消其参评资格；已获得奖励的，撤销奖项并收回奖励资金，取消其5年内的参评资格。</w:t>
      </w:r>
    </w:p>
    <w:p>
      <w:pPr>
        <w:autoSpaceDE w:val="0"/>
        <w:autoSpaceDN w:val="0"/>
        <w:adjustRightInd w:val="0"/>
        <w:spacing w:line="480" w:lineRule="exact"/>
        <w:ind w:firstLine="640"/>
        <w:rPr>
          <w:rFonts w:ascii="仿宋_GB2312" w:hAnsi="黑体" w:eastAsia="仿宋_GB2312" w:cs="黑体"/>
          <w:kern w:val="0"/>
          <w:sz w:val="32"/>
          <w:szCs w:val="32"/>
          <w:lang w:val="zh-CN"/>
        </w:rPr>
      </w:pPr>
      <w:r>
        <w:rPr>
          <w:rFonts w:hint="eastAsia" w:ascii="仿宋_GB2312" w:hAnsi="黑体" w:eastAsia="仿宋_GB2312" w:cs="黑体"/>
          <w:b/>
          <w:bCs/>
          <w:kern w:val="0"/>
          <w:sz w:val="32"/>
          <w:szCs w:val="32"/>
          <w:lang w:val="zh-CN"/>
        </w:rPr>
        <w:t>第九条</w:t>
      </w:r>
      <w:r>
        <w:rPr>
          <w:rFonts w:ascii="仿宋_GB2312" w:hAnsi="黑体" w:eastAsia="仿宋_GB2312" w:cs="黑体"/>
          <w:kern w:val="0"/>
          <w:sz w:val="32"/>
          <w:szCs w:val="32"/>
          <w:lang w:val="zh-CN"/>
        </w:rPr>
        <w:t xml:space="preserve"> </w:t>
      </w:r>
      <w:r>
        <w:rPr>
          <w:rFonts w:hint="eastAsia" w:ascii="仿宋_GB2312" w:hAnsi="黑体" w:eastAsia="仿宋_GB2312" w:cs="黑体"/>
          <w:kern w:val="0"/>
          <w:sz w:val="32"/>
          <w:szCs w:val="32"/>
          <w:lang w:val="zh-CN"/>
        </w:rPr>
        <w:t>本办法自发布之日起实施，有效期5年。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18" w:right="1418" w:bottom="141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C02"/>
    <w:rsid w:val="000032CC"/>
    <w:rsid w:val="00015772"/>
    <w:rsid w:val="00030930"/>
    <w:rsid w:val="00032B0D"/>
    <w:rsid w:val="00061CF0"/>
    <w:rsid w:val="000673CA"/>
    <w:rsid w:val="0007380D"/>
    <w:rsid w:val="00080625"/>
    <w:rsid w:val="000876D0"/>
    <w:rsid w:val="000B1692"/>
    <w:rsid w:val="000B1BCA"/>
    <w:rsid w:val="000E1544"/>
    <w:rsid w:val="00105782"/>
    <w:rsid w:val="00107C46"/>
    <w:rsid w:val="00113D41"/>
    <w:rsid w:val="00117DA3"/>
    <w:rsid w:val="00142D7C"/>
    <w:rsid w:val="00146155"/>
    <w:rsid w:val="001534C7"/>
    <w:rsid w:val="00161106"/>
    <w:rsid w:val="00186E04"/>
    <w:rsid w:val="0019618C"/>
    <w:rsid w:val="001B5FE8"/>
    <w:rsid w:val="001C001F"/>
    <w:rsid w:val="001C578A"/>
    <w:rsid w:val="001D4AA6"/>
    <w:rsid w:val="001E0949"/>
    <w:rsid w:val="00222785"/>
    <w:rsid w:val="00263F9F"/>
    <w:rsid w:val="00266D0C"/>
    <w:rsid w:val="0027330D"/>
    <w:rsid w:val="002803B6"/>
    <w:rsid w:val="002831B4"/>
    <w:rsid w:val="002A2408"/>
    <w:rsid w:val="002A4AC0"/>
    <w:rsid w:val="002E1429"/>
    <w:rsid w:val="002F4954"/>
    <w:rsid w:val="00300A58"/>
    <w:rsid w:val="0030124C"/>
    <w:rsid w:val="0033592E"/>
    <w:rsid w:val="003449C7"/>
    <w:rsid w:val="00353235"/>
    <w:rsid w:val="00356DC8"/>
    <w:rsid w:val="003A460C"/>
    <w:rsid w:val="003F09AF"/>
    <w:rsid w:val="004075B6"/>
    <w:rsid w:val="004236BD"/>
    <w:rsid w:val="00452855"/>
    <w:rsid w:val="00463039"/>
    <w:rsid w:val="0048037D"/>
    <w:rsid w:val="00481E9F"/>
    <w:rsid w:val="004821B7"/>
    <w:rsid w:val="00491381"/>
    <w:rsid w:val="004A55D6"/>
    <w:rsid w:val="004B4767"/>
    <w:rsid w:val="00503A1D"/>
    <w:rsid w:val="00512890"/>
    <w:rsid w:val="00536C2B"/>
    <w:rsid w:val="00536C6B"/>
    <w:rsid w:val="00553D06"/>
    <w:rsid w:val="00556658"/>
    <w:rsid w:val="0058222F"/>
    <w:rsid w:val="00593939"/>
    <w:rsid w:val="005E0EE3"/>
    <w:rsid w:val="005E6CBB"/>
    <w:rsid w:val="005F4364"/>
    <w:rsid w:val="00607E0E"/>
    <w:rsid w:val="00632C17"/>
    <w:rsid w:val="00636541"/>
    <w:rsid w:val="00691A7C"/>
    <w:rsid w:val="006A1AEB"/>
    <w:rsid w:val="006A39EB"/>
    <w:rsid w:val="006A6211"/>
    <w:rsid w:val="006B2A5C"/>
    <w:rsid w:val="006F66E8"/>
    <w:rsid w:val="007118CF"/>
    <w:rsid w:val="007139F0"/>
    <w:rsid w:val="007334FD"/>
    <w:rsid w:val="00751D86"/>
    <w:rsid w:val="00752E12"/>
    <w:rsid w:val="007760C1"/>
    <w:rsid w:val="007949EA"/>
    <w:rsid w:val="007954F4"/>
    <w:rsid w:val="007B5A04"/>
    <w:rsid w:val="007B5FEE"/>
    <w:rsid w:val="007B6678"/>
    <w:rsid w:val="007C150D"/>
    <w:rsid w:val="007D16EC"/>
    <w:rsid w:val="00801790"/>
    <w:rsid w:val="008030CF"/>
    <w:rsid w:val="008349FD"/>
    <w:rsid w:val="008451BE"/>
    <w:rsid w:val="008456CB"/>
    <w:rsid w:val="00847855"/>
    <w:rsid w:val="008533CE"/>
    <w:rsid w:val="00867D4B"/>
    <w:rsid w:val="00872BDE"/>
    <w:rsid w:val="00881A28"/>
    <w:rsid w:val="008A30B9"/>
    <w:rsid w:val="008A6A39"/>
    <w:rsid w:val="008B4C79"/>
    <w:rsid w:val="008B7FB1"/>
    <w:rsid w:val="008D46EE"/>
    <w:rsid w:val="008E02F0"/>
    <w:rsid w:val="008E12C9"/>
    <w:rsid w:val="00911798"/>
    <w:rsid w:val="00915BEC"/>
    <w:rsid w:val="00917F34"/>
    <w:rsid w:val="009307D1"/>
    <w:rsid w:val="009468A7"/>
    <w:rsid w:val="00950DF2"/>
    <w:rsid w:val="009520C2"/>
    <w:rsid w:val="009632E5"/>
    <w:rsid w:val="009843A7"/>
    <w:rsid w:val="009A671D"/>
    <w:rsid w:val="009C268A"/>
    <w:rsid w:val="00A26D19"/>
    <w:rsid w:val="00A47BD2"/>
    <w:rsid w:val="00A62232"/>
    <w:rsid w:val="00A81C45"/>
    <w:rsid w:val="00A948D7"/>
    <w:rsid w:val="00AC379D"/>
    <w:rsid w:val="00AF65FF"/>
    <w:rsid w:val="00B20C02"/>
    <w:rsid w:val="00B302E8"/>
    <w:rsid w:val="00B41884"/>
    <w:rsid w:val="00B4291C"/>
    <w:rsid w:val="00B46A83"/>
    <w:rsid w:val="00B5070D"/>
    <w:rsid w:val="00B55CFB"/>
    <w:rsid w:val="00B66CC0"/>
    <w:rsid w:val="00B875E9"/>
    <w:rsid w:val="00B91904"/>
    <w:rsid w:val="00B94BCB"/>
    <w:rsid w:val="00BA79D4"/>
    <w:rsid w:val="00BB2324"/>
    <w:rsid w:val="00BB768D"/>
    <w:rsid w:val="00BC4F63"/>
    <w:rsid w:val="00BC6C64"/>
    <w:rsid w:val="00BD2560"/>
    <w:rsid w:val="00BF3693"/>
    <w:rsid w:val="00C03866"/>
    <w:rsid w:val="00C07868"/>
    <w:rsid w:val="00C106B2"/>
    <w:rsid w:val="00C3008B"/>
    <w:rsid w:val="00C37673"/>
    <w:rsid w:val="00C43A72"/>
    <w:rsid w:val="00C57E79"/>
    <w:rsid w:val="00CB1CF3"/>
    <w:rsid w:val="00CC0068"/>
    <w:rsid w:val="00CD2A1A"/>
    <w:rsid w:val="00CE2694"/>
    <w:rsid w:val="00CF1CF2"/>
    <w:rsid w:val="00CF2B5E"/>
    <w:rsid w:val="00D0735A"/>
    <w:rsid w:val="00D10FAE"/>
    <w:rsid w:val="00D50652"/>
    <w:rsid w:val="00D619DA"/>
    <w:rsid w:val="00D76EAB"/>
    <w:rsid w:val="00D8240D"/>
    <w:rsid w:val="00D83757"/>
    <w:rsid w:val="00D90AB4"/>
    <w:rsid w:val="00DB072F"/>
    <w:rsid w:val="00DB49A2"/>
    <w:rsid w:val="00DE064C"/>
    <w:rsid w:val="00DE7F1B"/>
    <w:rsid w:val="00DF1EF1"/>
    <w:rsid w:val="00E05E51"/>
    <w:rsid w:val="00E060E5"/>
    <w:rsid w:val="00E15E9B"/>
    <w:rsid w:val="00E26371"/>
    <w:rsid w:val="00E433DA"/>
    <w:rsid w:val="00E4411E"/>
    <w:rsid w:val="00E54164"/>
    <w:rsid w:val="00E5758B"/>
    <w:rsid w:val="00E60693"/>
    <w:rsid w:val="00E60ADD"/>
    <w:rsid w:val="00E61640"/>
    <w:rsid w:val="00E641D3"/>
    <w:rsid w:val="00E673A6"/>
    <w:rsid w:val="00E70118"/>
    <w:rsid w:val="00E93E3A"/>
    <w:rsid w:val="00EA0B25"/>
    <w:rsid w:val="00EA3DE8"/>
    <w:rsid w:val="00EA622C"/>
    <w:rsid w:val="00EC21D1"/>
    <w:rsid w:val="00EC2CA5"/>
    <w:rsid w:val="00ED5863"/>
    <w:rsid w:val="00ED5C36"/>
    <w:rsid w:val="00ED78EF"/>
    <w:rsid w:val="00EF3204"/>
    <w:rsid w:val="00F17C38"/>
    <w:rsid w:val="00F21C5A"/>
    <w:rsid w:val="00F27648"/>
    <w:rsid w:val="00F307DD"/>
    <w:rsid w:val="00F30DAF"/>
    <w:rsid w:val="00F31715"/>
    <w:rsid w:val="00F33987"/>
    <w:rsid w:val="00F4759C"/>
    <w:rsid w:val="00F4780F"/>
    <w:rsid w:val="00F53050"/>
    <w:rsid w:val="00F53342"/>
    <w:rsid w:val="00F53C7A"/>
    <w:rsid w:val="00F87A8A"/>
    <w:rsid w:val="00F95798"/>
    <w:rsid w:val="00F96AAB"/>
    <w:rsid w:val="00FA2BFE"/>
    <w:rsid w:val="00FA6974"/>
    <w:rsid w:val="00FA7FE0"/>
    <w:rsid w:val="00FF7B35"/>
    <w:rsid w:val="06B64BA7"/>
    <w:rsid w:val="07330657"/>
    <w:rsid w:val="15A1460C"/>
    <w:rsid w:val="28AB70C0"/>
    <w:rsid w:val="31CF4D5C"/>
    <w:rsid w:val="3A3D13C3"/>
    <w:rsid w:val="3D937E10"/>
    <w:rsid w:val="49D902AF"/>
    <w:rsid w:val="6AFC636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nhideWhenUsed="0" w:uiPriority="0" w:semiHidden="0" w:name="table of authorities" w:locked="1"/>
    <w:lsdException w:uiPriority="99" w:name="macro"/>
    <w:lsdException w:uiPriority="99" w:name="toa heading"/>
    <w:lsdException w:unhideWhenUsed="0" w:uiPriority="0" w:semiHidden="0" w:name="List" w:locked="1"/>
    <w:lsdException w:unhideWhenUsed="0" w:uiPriority="0" w:semiHidden="0" w:name="List Bullet" w:locked="1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qFormat/>
    <w:uiPriority w:val="99"/>
    <w:rPr>
      <w:b/>
      <w:bCs/>
    </w:rPr>
  </w:style>
  <w:style w:type="paragraph" w:styleId="3">
    <w:name w:val="annotation text"/>
    <w:basedOn w:val="1"/>
    <w:link w:val="19"/>
    <w:qFormat/>
    <w:uiPriority w:val="99"/>
    <w:pPr>
      <w:jc w:val="left"/>
    </w:pPr>
  </w:style>
  <w:style w:type="paragraph" w:styleId="4">
    <w:name w:val="Body Text"/>
    <w:basedOn w:val="1"/>
    <w:link w:val="17"/>
    <w:qFormat/>
    <w:uiPriority w:val="99"/>
    <w:pPr>
      <w:jc w:val="center"/>
    </w:pPr>
    <w:rPr>
      <w:b/>
      <w:bCs/>
      <w:sz w:val="44"/>
    </w:rPr>
  </w:style>
  <w:style w:type="paragraph" w:styleId="5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6">
    <w:name w:val="Balloon Text"/>
    <w:basedOn w:val="1"/>
    <w:link w:val="18"/>
    <w:qFormat/>
    <w:uiPriority w:val="99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qFormat/>
    <w:uiPriority w:val="99"/>
    <w:rPr>
      <w:rFonts w:cs="Times New Roman"/>
    </w:rPr>
  </w:style>
  <w:style w:type="character" w:styleId="11">
    <w:name w:val="annotation reference"/>
    <w:qFormat/>
    <w:uiPriority w:val="99"/>
    <w:rPr>
      <w:rFonts w:cs="Times New Roman"/>
      <w:sz w:val="21"/>
    </w:rPr>
  </w:style>
  <w:style w:type="table" w:styleId="13">
    <w:name w:val="Table Grid"/>
    <w:basedOn w:val="1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页脚 字符"/>
    <w:link w:val="7"/>
    <w:semiHidden/>
    <w:qFormat/>
    <w:uiPriority w:val="99"/>
    <w:rPr>
      <w:sz w:val="18"/>
      <w:szCs w:val="18"/>
    </w:rPr>
  </w:style>
  <w:style w:type="character" w:customStyle="1" w:styleId="15">
    <w:name w:val="页眉 字符"/>
    <w:link w:val="8"/>
    <w:semiHidden/>
    <w:qFormat/>
    <w:uiPriority w:val="99"/>
    <w:rPr>
      <w:sz w:val="18"/>
      <w:szCs w:val="18"/>
    </w:rPr>
  </w:style>
  <w:style w:type="character" w:customStyle="1" w:styleId="16">
    <w:name w:val="日期 字符"/>
    <w:link w:val="5"/>
    <w:semiHidden/>
    <w:qFormat/>
    <w:uiPriority w:val="99"/>
    <w:rPr>
      <w:szCs w:val="24"/>
    </w:rPr>
  </w:style>
  <w:style w:type="character" w:customStyle="1" w:styleId="17">
    <w:name w:val="正文文本 字符"/>
    <w:link w:val="4"/>
    <w:semiHidden/>
    <w:qFormat/>
    <w:uiPriority w:val="99"/>
    <w:rPr>
      <w:szCs w:val="24"/>
    </w:rPr>
  </w:style>
  <w:style w:type="character" w:customStyle="1" w:styleId="18">
    <w:name w:val="批注框文本 字符"/>
    <w:link w:val="6"/>
    <w:qFormat/>
    <w:locked/>
    <w:uiPriority w:val="99"/>
    <w:rPr>
      <w:kern w:val="2"/>
      <w:sz w:val="18"/>
    </w:rPr>
  </w:style>
  <w:style w:type="character" w:customStyle="1" w:styleId="19">
    <w:name w:val="批注文字 字符"/>
    <w:link w:val="3"/>
    <w:qFormat/>
    <w:locked/>
    <w:uiPriority w:val="99"/>
    <w:rPr>
      <w:kern w:val="2"/>
      <w:sz w:val="24"/>
    </w:rPr>
  </w:style>
  <w:style w:type="character" w:customStyle="1" w:styleId="20">
    <w:name w:val="批注主题 字符"/>
    <w:link w:val="2"/>
    <w:qFormat/>
    <w:locked/>
    <w:uiPriority w:val="99"/>
    <w:rPr>
      <w:b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3</Pages>
  <Words>1281</Words>
  <Characters>77</Characters>
  <Lines>1</Lines>
  <Paragraphs>2</Paragraphs>
  <ScaleCrop>false</ScaleCrop>
  <LinksUpToDate>false</LinksUpToDate>
  <CharactersWithSpaces>1356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2020-09-15T09:31:00Z</dcterms:created>
  <dc:creator>MC SYSTEM</dc:creator>
  <cp:lastModifiedBy>lenovo</cp:lastModifiedBy>
  <cp:lastPrinted>2020-12-08T09:29:09Z</cp:lastPrinted>
  <dcterms:modified xsi:type="dcterms:W3CDTF">2020-12-08T09:29:14Z</dcterms:modified>
  <dc:title>漳财建〔2018〕号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