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福州市水平衡测试管理规定</w:t>
      </w:r>
    </w:p>
    <w:p/>
    <w:p>
      <w:pPr>
        <w:spacing w:line="520" w:lineRule="exact"/>
        <w:ind w:firstLine="640" w:firstLineChars="200"/>
        <w:rPr>
          <w:rFonts w:ascii="黑体" w:hAnsi="黑体" w:eastAsia="黑体"/>
          <w:sz w:val="32"/>
          <w:szCs w:val="32"/>
        </w:rPr>
      </w:pPr>
      <w:r>
        <w:rPr>
          <w:rFonts w:hint="eastAsia" w:ascii="黑体" w:hAnsi="黑体" w:eastAsia="黑体"/>
          <w:sz w:val="32"/>
          <w:szCs w:val="32"/>
        </w:rPr>
        <w:t>第一条</w:t>
      </w:r>
      <w:r>
        <w:rPr>
          <w:rFonts w:hint="eastAsia" w:ascii="仿宋_GB2312" w:eastAsia="仿宋_GB2312"/>
          <w:sz w:val="32"/>
          <w:szCs w:val="32"/>
        </w:rPr>
        <w:t xml:space="preserve"> 为贯彻落实国家节水行动和最严格水资源管理制度，加强用水效率管理，规范本市水平衡测试工作，根据《中华人民共和国水法》</w:t>
      </w:r>
      <w:r>
        <w:rPr>
          <w:rFonts w:hint="eastAsia" w:ascii="仿宋_GB2312" w:eastAsia="仿宋_GB2312"/>
          <w:sz w:val="32"/>
          <w:szCs w:val="32"/>
          <w:lang w:eastAsia="zh-CN"/>
        </w:rPr>
        <w:t>《城市供水条例》《节约用水条例》</w:t>
      </w:r>
      <w:r>
        <w:rPr>
          <w:rFonts w:hint="eastAsia" w:ascii="仿宋_GB2312" w:eastAsia="仿宋_GB2312"/>
          <w:sz w:val="32"/>
          <w:szCs w:val="32"/>
        </w:rPr>
        <w:t>《福建省城乡供水条例》《福建省节约用水管理办法》</w:t>
      </w:r>
      <w:r>
        <w:rPr>
          <w:rFonts w:hint="default" w:ascii="Times New Roman" w:hAnsi="Times New Roman" w:eastAsia="仿宋_GB2312"/>
          <w:sz w:val="32"/>
          <w:szCs w:val="32"/>
          <w:lang w:val="en-US"/>
        </w:rPr>
        <w:t>《福州市城市节约用水管理办法》</w:t>
      </w:r>
      <w:r>
        <w:rPr>
          <w:rFonts w:hint="eastAsia" w:ascii="仿宋_GB2312" w:eastAsia="仿宋_GB2312"/>
          <w:sz w:val="32"/>
          <w:szCs w:val="32"/>
        </w:rPr>
        <w:t>等规定，结合本市实际，制定本规定。</w:t>
      </w:r>
    </w:p>
    <w:p>
      <w:pPr>
        <w:spacing w:line="520" w:lineRule="exact"/>
        <w:ind w:firstLine="640" w:firstLineChars="200"/>
        <w:rPr>
          <w:rFonts w:ascii="Times New Roman" w:hAnsi="Times New Roman" w:eastAsia="仿宋_GB2312"/>
          <w:bCs/>
          <w:sz w:val="32"/>
          <w:szCs w:val="32"/>
        </w:rPr>
      </w:pPr>
      <w:r>
        <w:rPr>
          <w:rFonts w:hint="eastAsia" w:ascii="黑体" w:hAnsi="黑体" w:eastAsia="黑体"/>
          <w:sz w:val="32"/>
          <w:szCs w:val="32"/>
        </w:rPr>
        <w:t>第二条</w:t>
      </w:r>
      <w:r>
        <w:rPr>
          <w:rFonts w:ascii="黑体" w:hAnsi="黑体" w:eastAsia="黑体"/>
          <w:sz w:val="32"/>
          <w:szCs w:val="32"/>
        </w:rPr>
        <w:t xml:space="preserve"> </w:t>
      </w:r>
      <w:r>
        <w:rPr>
          <w:rFonts w:ascii="Times New Roman" w:hAnsi="Times New Roman" w:eastAsia="仿宋_GB2312"/>
          <w:sz w:val="32"/>
          <w:szCs w:val="32"/>
        </w:rPr>
        <w:t>本规定所称的水平衡测试</w:t>
      </w:r>
      <w:r>
        <w:rPr>
          <w:rFonts w:hint="eastAsia" w:ascii="Times New Roman" w:hAnsi="Times New Roman" w:eastAsia="仿宋_GB2312"/>
          <w:sz w:val="32"/>
          <w:szCs w:val="32"/>
        </w:rPr>
        <w:t>，</w:t>
      </w:r>
      <w:r>
        <w:rPr>
          <w:rFonts w:ascii="Times New Roman" w:hAnsi="Times New Roman" w:eastAsia="仿宋_GB2312"/>
          <w:sz w:val="32"/>
          <w:szCs w:val="32"/>
        </w:rPr>
        <w:t>是指</w:t>
      </w:r>
      <w:r>
        <w:rPr>
          <w:rFonts w:hint="eastAsia" w:ascii="Times New Roman" w:hAnsi="Times New Roman" w:eastAsia="仿宋_GB2312"/>
          <w:bCs/>
          <w:sz w:val="32"/>
          <w:szCs w:val="32"/>
        </w:rPr>
        <w:t>对用水单元或系统的水量进行系统地测量、统计和计算，根据水量平衡原理，分析查找问题并提出持续改进建议的过程。</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第三条</w:t>
      </w:r>
      <w:r>
        <w:rPr>
          <w:rFonts w:ascii="黑体" w:hAnsi="黑体" w:eastAsia="黑体"/>
          <w:sz w:val="32"/>
          <w:szCs w:val="32"/>
        </w:rPr>
        <w:t xml:space="preserve"> </w:t>
      </w:r>
      <w:r>
        <w:rPr>
          <w:rFonts w:ascii="Times New Roman" w:hAnsi="Times New Roman" w:eastAsia="仿宋_GB2312"/>
          <w:sz w:val="32"/>
          <w:szCs w:val="32"/>
        </w:rPr>
        <w:t>本规定适用于福州市使用城市公共供水的非居民用水单位</w:t>
      </w:r>
      <w:r>
        <w:rPr>
          <w:rFonts w:hint="eastAsia" w:ascii="Times New Roman" w:hAnsi="Times New Roman" w:eastAsia="仿宋_GB2312"/>
          <w:sz w:val="32"/>
          <w:szCs w:val="32"/>
        </w:rPr>
        <w:t>开展水平衡测试以及相关管理活动。</w:t>
      </w:r>
    </w:p>
    <w:p>
      <w:pPr>
        <w:spacing w:line="520" w:lineRule="exact"/>
        <w:ind w:firstLine="640" w:firstLineChars="200"/>
        <w:rPr>
          <w:rFonts w:ascii="仿宋_GB2312" w:eastAsia="仿宋_GB2312"/>
          <w:sz w:val="32"/>
          <w:szCs w:val="32"/>
        </w:rPr>
      </w:pPr>
      <w:r>
        <w:rPr>
          <w:rFonts w:hint="eastAsia" w:ascii="黑体" w:hAnsi="黑体" w:eastAsia="黑体"/>
          <w:sz w:val="32"/>
          <w:szCs w:val="32"/>
        </w:rPr>
        <w:t>第四条</w:t>
      </w:r>
      <w:r>
        <w:rPr>
          <w:rFonts w:ascii="黑体" w:hAnsi="黑体" w:eastAsia="黑体"/>
          <w:sz w:val="32"/>
          <w:szCs w:val="32"/>
        </w:rPr>
        <w:t xml:space="preserve"> </w:t>
      </w:r>
      <w:r>
        <w:rPr>
          <w:rFonts w:hint="eastAsia" w:ascii="Times New Roman" w:hAnsi="Times New Roman" w:eastAsia="仿宋_GB2312"/>
          <w:kern w:val="0"/>
          <w:sz w:val="32"/>
          <w:szCs w:val="32"/>
        </w:rPr>
        <w:t>市建设行政主管部门负责鼓楼区、台江区、晋安区、仓山区</w:t>
      </w:r>
      <w:r>
        <w:rPr>
          <w:rFonts w:hint="eastAsia" w:ascii="仿宋_GB2312" w:eastAsia="仿宋_GB2312"/>
          <w:sz w:val="32"/>
          <w:szCs w:val="32"/>
        </w:rPr>
        <w:t>水平衡测试的具体管理工作，并指导其他县（市）区开展相关工作。</w:t>
      </w:r>
    </w:p>
    <w:p>
      <w:pPr>
        <w:spacing w:line="520" w:lineRule="exact"/>
        <w:ind w:firstLine="640" w:firstLineChars="200"/>
        <w:rPr>
          <w:rFonts w:ascii="仿宋_GB2312" w:eastAsia="仿宋_GB2312"/>
          <w:sz w:val="32"/>
          <w:szCs w:val="32"/>
        </w:rPr>
      </w:pPr>
      <w:r>
        <w:rPr>
          <w:rFonts w:hint="eastAsia" w:ascii="Times New Roman" w:hAnsi="Times New Roman" w:eastAsia="仿宋_GB2312"/>
          <w:kern w:val="0"/>
          <w:sz w:val="32"/>
          <w:szCs w:val="32"/>
        </w:rPr>
        <w:t>马尾区、长乐区、各县（市）建设行政主管部门负责</w:t>
      </w:r>
      <w:r>
        <w:rPr>
          <w:rFonts w:hint="eastAsia" w:ascii="仿宋_GB2312" w:eastAsia="仿宋_GB2312"/>
          <w:sz w:val="32"/>
          <w:szCs w:val="32"/>
        </w:rPr>
        <w:t>本辖区内水平衡测试的具体管理工作。</w:t>
      </w:r>
    </w:p>
    <w:p>
      <w:pPr>
        <w:widowControl/>
        <w:spacing w:line="520" w:lineRule="exact"/>
        <w:ind w:firstLine="640" w:firstLineChars="200"/>
        <w:jc w:val="left"/>
        <w:rPr>
          <w:rFonts w:ascii="仿宋_GB2312" w:eastAsia="仿宋_GB2312"/>
          <w:sz w:val="32"/>
          <w:szCs w:val="32"/>
        </w:rPr>
      </w:pPr>
      <w:r>
        <w:rPr>
          <w:rFonts w:hint="eastAsia" w:ascii="黑体" w:hAnsi="黑体" w:eastAsia="黑体"/>
          <w:sz w:val="32"/>
          <w:szCs w:val="32"/>
        </w:rPr>
        <w:t xml:space="preserve">第五条 </w:t>
      </w:r>
      <w:r>
        <w:rPr>
          <w:rFonts w:hint="eastAsia" w:ascii="仿宋_GB2312" w:hAnsi="黑体" w:eastAsia="仿宋_GB2312"/>
          <w:sz w:val="32"/>
          <w:szCs w:val="32"/>
        </w:rPr>
        <w:t>纳入计划用水管理的月均用水量3000立方米（含）以上的用水单位（以下简称“用水单位”），应当定期组织开展水平衡测试。</w:t>
      </w:r>
      <w:r>
        <w:rPr>
          <w:rFonts w:hint="eastAsia" w:ascii="仿宋_GB2312" w:eastAsia="仿宋_GB2312"/>
          <w:sz w:val="32"/>
          <w:szCs w:val="32"/>
        </w:rPr>
        <w:t>其中，月均用水量在3000立方米（含）以上至5000立方米以下的用水单位应当每5年开展一次水平衡测试；月均用水量在5000立方米（含）以上的用水单位应当每3年开展一次水平衡测试。</w:t>
      </w:r>
    </w:p>
    <w:p>
      <w:pPr>
        <w:widowControl/>
        <w:shd w:val="clear"/>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鼓励其他用水单位定期开展水平衡测试。</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用水单位</w:t>
      </w:r>
      <w:r>
        <w:rPr>
          <w:rFonts w:ascii="Times New Roman" w:hAnsi="Times New Roman" w:eastAsia="仿宋_GB2312"/>
          <w:sz w:val="32"/>
          <w:szCs w:val="32"/>
        </w:rPr>
        <w:t>可以委托具有相应</w:t>
      </w:r>
      <w:r>
        <w:rPr>
          <w:rFonts w:hint="eastAsia" w:ascii="Times New Roman" w:hAnsi="Times New Roman" w:eastAsia="仿宋_GB2312"/>
          <w:sz w:val="32"/>
          <w:szCs w:val="32"/>
          <w:lang w:val="en-US" w:eastAsia="zh-CN"/>
        </w:rPr>
        <w:t>能力</w:t>
      </w:r>
      <w:r>
        <w:rPr>
          <w:rFonts w:ascii="Times New Roman" w:hAnsi="Times New Roman" w:eastAsia="仿宋_GB2312"/>
          <w:sz w:val="32"/>
          <w:szCs w:val="32"/>
        </w:rPr>
        <w:t>的测试机构实施水平衡测试，也可自行组织测试</w:t>
      </w:r>
      <w:r>
        <w:rPr>
          <w:rFonts w:hint="eastAsia" w:ascii="仿宋_GB2312" w:eastAsia="仿宋_GB2312"/>
          <w:sz w:val="32"/>
          <w:szCs w:val="32"/>
        </w:rPr>
        <w:t>。</w:t>
      </w:r>
      <w:bookmarkStart w:id="2" w:name="_GoBack"/>
      <w:bookmarkEnd w:id="2"/>
    </w:p>
    <w:p>
      <w:pPr>
        <w:spacing w:line="520" w:lineRule="exact"/>
        <w:ind w:firstLine="640" w:firstLineChars="200"/>
        <w:rPr>
          <w:rFonts w:ascii="仿宋_GB2312" w:eastAsia="仿宋_GB2312"/>
          <w:sz w:val="32"/>
          <w:szCs w:val="32"/>
        </w:rPr>
      </w:pPr>
      <w:r>
        <w:rPr>
          <w:rFonts w:hint="eastAsia" w:ascii="黑体" w:hAnsi="黑体" w:eastAsia="黑体"/>
          <w:sz w:val="32"/>
          <w:szCs w:val="32"/>
        </w:rPr>
        <w:t>第六条</w:t>
      </w:r>
      <w:r>
        <w:rPr>
          <w:rFonts w:ascii="黑体" w:hAnsi="黑体" w:eastAsia="黑体"/>
          <w:sz w:val="32"/>
          <w:szCs w:val="32"/>
        </w:rPr>
        <w:t xml:space="preserve"> </w:t>
      </w:r>
      <w:r>
        <w:rPr>
          <w:rFonts w:hint="eastAsia" w:ascii="仿宋_GB2312" w:eastAsia="仿宋_GB2312"/>
          <w:sz w:val="32"/>
          <w:szCs w:val="32"/>
        </w:rPr>
        <w:t>用水单位有下列情形之一，导致用水情况发生变化的，应当及时进行水平衡测试：</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（一）改建、扩建工程竣工投入使用的；</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（二）产品结构、生产工艺、水处理及循环水设施发生变化导致用水量变化的。</w:t>
      </w:r>
    </w:p>
    <w:p>
      <w:pPr>
        <w:spacing w:line="520" w:lineRule="exact"/>
        <w:ind w:firstLine="640" w:firstLineChars="200"/>
        <w:rPr>
          <w:rFonts w:ascii="仿宋_GB2312" w:eastAsia="仿宋_GB2312"/>
          <w:sz w:val="32"/>
          <w:szCs w:val="32"/>
        </w:rPr>
      </w:pPr>
      <w:r>
        <w:rPr>
          <w:rFonts w:hint="eastAsia" w:ascii="黑体" w:hAnsi="黑体" w:eastAsia="黑体"/>
          <w:sz w:val="32"/>
          <w:szCs w:val="32"/>
        </w:rPr>
        <w:t>第七条</w:t>
      </w:r>
      <w:r>
        <w:rPr>
          <w:rFonts w:ascii="仿宋_GB2312" w:eastAsia="仿宋_GB2312"/>
          <w:sz w:val="32"/>
          <w:szCs w:val="32"/>
        </w:rPr>
        <w:t xml:space="preserve"> </w:t>
      </w:r>
      <w:r>
        <w:rPr>
          <w:rFonts w:hint="eastAsia" w:ascii="仿宋_GB2312" w:eastAsia="仿宋_GB2312"/>
          <w:sz w:val="32"/>
          <w:szCs w:val="32"/>
        </w:rPr>
        <w:t>各级建设行政主管部门应当根据用水单位水平衡测试的有效期和及时测试的要求，在每年第</w:t>
      </w:r>
      <w:r>
        <w:rPr>
          <w:rFonts w:hint="eastAsia" w:ascii="仿宋_GB2312" w:eastAsia="仿宋_GB2312"/>
          <w:sz w:val="32"/>
          <w:szCs w:val="32"/>
          <w:lang w:eastAsia="zh-CN"/>
        </w:rPr>
        <w:t>一</w:t>
      </w:r>
      <w:r>
        <w:rPr>
          <w:rFonts w:hint="eastAsia" w:ascii="仿宋_GB2312" w:eastAsia="仿宋_GB2312"/>
          <w:sz w:val="32"/>
          <w:szCs w:val="32"/>
        </w:rPr>
        <w:t>季度制定并公布</w:t>
      </w:r>
      <w:r>
        <w:rPr>
          <w:rFonts w:hint="eastAsia" w:ascii="仿宋_GB2312" w:eastAsia="仿宋_GB2312"/>
          <w:sz w:val="32"/>
          <w:szCs w:val="32"/>
          <w:lang w:eastAsia="zh-CN"/>
        </w:rPr>
        <w:t>本</w:t>
      </w:r>
      <w:r>
        <w:rPr>
          <w:rFonts w:hint="eastAsia" w:ascii="仿宋_GB2312" w:eastAsia="仿宋_GB2312"/>
          <w:sz w:val="32"/>
          <w:szCs w:val="32"/>
        </w:rPr>
        <w:t>年度水平衡测试计划，并向用水单位送达本年度测试通知书。</w:t>
      </w:r>
    </w:p>
    <w:p>
      <w:pPr>
        <w:spacing w:line="520" w:lineRule="exact"/>
        <w:ind w:firstLine="640" w:firstLineChars="200"/>
        <w:rPr>
          <w:rFonts w:ascii="仿宋_GB2312" w:eastAsia="仿宋_GB2312"/>
          <w:sz w:val="32"/>
          <w:szCs w:val="32"/>
        </w:rPr>
      </w:pPr>
      <w:r>
        <w:rPr>
          <w:rFonts w:hint="eastAsia" w:ascii="黑体" w:hAnsi="黑体" w:eastAsia="黑体"/>
          <w:sz w:val="32"/>
          <w:szCs w:val="32"/>
        </w:rPr>
        <w:t>第八条</w:t>
      </w:r>
      <w:r>
        <w:rPr>
          <w:rFonts w:ascii="黑体" w:hAnsi="黑体" w:eastAsia="黑体"/>
          <w:sz w:val="32"/>
          <w:szCs w:val="32"/>
        </w:rPr>
        <w:t xml:space="preserve"> </w:t>
      </w:r>
      <w:r>
        <w:rPr>
          <w:rFonts w:hint="eastAsia" w:ascii="仿宋_GB2312" w:eastAsia="仿宋_GB2312"/>
          <w:sz w:val="32"/>
          <w:szCs w:val="32"/>
        </w:rPr>
        <w:t>用水单位确需调整水平衡测试计划的，应当自收到测试通知书之日起三十日内将调整的原因告知所属建设行政主管部门，并提供相关证明资料。</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各级建设行政主管部门应当根据实际情况于用水单位告知之日起二十日内送达是否调整的通知书。</w:t>
      </w:r>
    </w:p>
    <w:p>
      <w:pPr>
        <w:spacing w:line="520" w:lineRule="exact"/>
        <w:ind w:firstLine="640" w:firstLineChars="200"/>
        <w:rPr>
          <w:rFonts w:ascii="Times New Roman" w:hAnsi="Times New Roman" w:eastAsia="仿宋_GB2312"/>
          <w:sz w:val="32"/>
          <w:szCs w:val="32"/>
        </w:rPr>
      </w:pPr>
      <w:r>
        <w:rPr>
          <w:rFonts w:hint="eastAsia" w:ascii="黑体" w:hAnsi="黑体" w:eastAsia="黑体"/>
          <w:sz w:val="32"/>
          <w:szCs w:val="32"/>
        </w:rPr>
        <w:t>第九条</w:t>
      </w:r>
      <w:r>
        <w:rPr>
          <w:rFonts w:ascii="黑体" w:hAnsi="黑体" w:eastAsia="黑体"/>
          <w:sz w:val="32"/>
          <w:szCs w:val="32"/>
        </w:rPr>
        <w:t xml:space="preserve"> </w:t>
      </w:r>
      <w:r>
        <w:rPr>
          <w:rFonts w:hint="eastAsia" w:ascii="Times New Roman" w:hAnsi="Times New Roman" w:eastAsia="仿宋_GB2312"/>
          <w:sz w:val="32"/>
          <w:szCs w:val="32"/>
        </w:rPr>
        <w:t>用水单位和专业测试机构应当按照《水平衡测试通则》（GB/T</w:t>
      </w:r>
      <w:r>
        <w:rPr>
          <w:rFonts w:ascii="Times New Roman" w:hAnsi="Times New Roman" w:eastAsia="仿宋_GB2312"/>
          <w:sz w:val="32"/>
          <w:szCs w:val="32"/>
        </w:rPr>
        <w:t xml:space="preserve"> </w:t>
      </w:r>
      <w:r>
        <w:rPr>
          <w:rFonts w:hint="eastAsia" w:ascii="Times New Roman" w:hAnsi="Times New Roman" w:eastAsia="仿宋_GB2312"/>
          <w:sz w:val="32"/>
          <w:szCs w:val="32"/>
        </w:rPr>
        <w:t>12452）等相关标准和规范，对水表计量率、用水环节、用水工艺、用水设备及用水合理化分析等开展测试工作。</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用水单位应当针对水平衡测试过程中发现的问题，及时整改，达到水平衡测试相关要求。</w:t>
      </w:r>
    </w:p>
    <w:p>
      <w:pPr>
        <w:spacing w:line="520" w:lineRule="exact"/>
        <w:ind w:firstLine="640" w:firstLineChars="200"/>
        <w:rPr>
          <w:rFonts w:ascii="Times New Roman" w:hAnsi="Times New Roman" w:eastAsia="仿宋_GB2312"/>
          <w:sz w:val="32"/>
          <w:szCs w:val="32"/>
        </w:rPr>
      </w:pPr>
      <w:r>
        <w:rPr>
          <w:rFonts w:hint="eastAsia" w:ascii="黑体" w:hAnsi="黑体" w:eastAsia="黑体"/>
          <w:sz w:val="32"/>
          <w:szCs w:val="32"/>
        </w:rPr>
        <w:t>第十条</w:t>
      </w:r>
      <w:r>
        <w:rPr>
          <w:rFonts w:ascii="黑体" w:hAnsi="黑体" w:eastAsia="黑体"/>
          <w:sz w:val="32"/>
          <w:szCs w:val="32"/>
        </w:rPr>
        <w:t xml:space="preserve"> </w:t>
      </w:r>
      <w:r>
        <w:rPr>
          <w:rFonts w:hint="eastAsia" w:ascii="仿宋_GB2312" w:eastAsia="仿宋_GB2312"/>
          <w:sz w:val="32"/>
          <w:szCs w:val="32"/>
        </w:rPr>
        <w:t>用水单位应当根据水平衡测试情况，编制水平衡测试报告书。水平衡测试报告书</w:t>
      </w:r>
      <w:r>
        <w:rPr>
          <w:rFonts w:hint="eastAsia" w:ascii="仿宋_GB2312" w:eastAsia="仿宋_GB2312"/>
          <w:sz w:val="32"/>
          <w:szCs w:val="32"/>
          <w:lang w:val="en-US" w:eastAsia="zh-CN"/>
        </w:rPr>
        <w:t>应当自</w:t>
      </w:r>
      <w:r>
        <w:rPr>
          <w:rFonts w:hint="eastAsia" w:ascii="仿宋_GB2312" w:eastAsia="仿宋_GB2312"/>
          <w:sz w:val="32"/>
          <w:szCs w:val="32"/>
        </w:rPr>
        <w:t>完成之日起十五日内</w:t>
      </w:r>
      <w:r>
        <w:rPr>
          <w:rFonts w:hint="eastAsia" w:ascii="仿宋_GB2312" w:eastAsia="仿宋_GB2312"/>
          <w:sz w:val="32"/>
          <w:szCs w:val="32"/>
          <w:lang w:val="en-US" w:eastAsia="zh-CN"/>
        </w:rPr>
        <w:t>报送</w:t>
      </w:r>
      <w:r>
        <w:rPr>
          <w:rFonts w:hint="eastAsia" w:ascii="仿宋_GB2312" w:eastAsia="仿宋_GB2312"/>
          <w:sz w:val="32"/>
          <w:szCs w:val="32"/>
        </w:rPr>
        <w:t>建设行政主管部门</w:t>
      </w:r>
      <w:r>
        <w:rPr>
          <w:rFonts w:hint="eastAsia" w:ascii="仿宋_GB2312" w:eastAsia="仿宋_GB2312"/>
          <w:sz w:val="32"/>
          <w:szCs w:val="32"/>
          <w:lang w:eastAsia="zh-CN"/>
        </w:rPr>
        <w:t>。</w:t>
      </w:r>
      <w:r>
        <w:rPr>
          <w:rFonts w:hint="eastAsia" w:ascii="仿宋_GB2312" w:eastAsia="仿宋_GB2312"/>
          <w:sz w:val="32"/>
          <w:szCs w:val="32"/>
        </w:rPr>
        <w:t>建设行政主管部门应</w:t>
      </w:r>
      <w:r>
        <w:rPr>
          <w:rFonts w:hint="eastAsia" w:ascii="仿宋_GB2312" w:eastAsia="仿宋_GB2312"/>
          <w:sz w:val="32"/>
          <w:szCs w:val="32"/>
          <w:lang w:val="en-US" w:eastAsia="zh-CN"/>
        </w:rPr>
        <w:t>当</w:t>
      </w:r>
      <w:r>
        <w:rPr>
          <w:rFonts w:hint="eastAsia" w:ascii="仿宋_GB2312" w:eastAsia="仿宋_GB2312"/>
          <w:sz w:val="32"/>
          <w:szCs w:val="32"/>
        </w:rPr>
        <w:t>加强节约用水</w:t>
      </w:r>
      <w:r>
        <w:rPr>
          <w:rFonts w:hint="eastAsia" w:ascii="仿宋_GB2312" w:eastAsia="仿宋_GB2312"/>
          <w:sz w:val="32"/>
          <w:szCs w:val="32"/>
          <w:lang w:val="en-US" w:eastAsia="zh-CN"/>
        </w:rPr>
        <w:t>的</w:t>
      </w:r>
      <w:r>
        <w:rPr>
          <w:rFonts w:hint="eastAsia" w:ascii="仿宋_GB2312" w:eastAsia="仿宋_GB2312"/>
          <w:sz w:val="32"/>
          <w:szCs w:val="32"/>
        </w:rPr>
        <w:t>监督</w:t>
      </w:r>
      <w:r>
        <w:rPr>
          <w:rFonts w:hint="eastAsia" w:ascii="仿宋_GB2312" w:eastAsia="仿宋_GB2312"/>
          <w:sz w:val="32"/>
          <w:szCs w:val="32"/>
          <w:lang w:val="en-US" w:eastAsia="zh-CN"/>
        </w:rPr>
        <w:t>管理</w:t>
      </w:r>
      <w:r>
        <w:rPr>
          <w:rFonts w:hint="eastAsia" w:ascii="仿宋_GB2312" w:eastAsia="仿宋_GB2312"/>
          <w:sz w:val="32"/>
          <w:szCs w:val="32"/>
        </w:rPr>
        <w:t>。</w:t>
      </w:r>
    </w:p>
    <w:p>
      <w:pPr>
        <w:spacing w:line="520" w:lineRule="exact"/>
        <w:ind w:firstLine="640" w:firstLineChars="200"/>
        <w:rPr>
          <w:rFonts w:ascii="仿宋_GB2312" w:eastAsia="仿宋_GB2312"/>
          <w:sz w:val="32"/>
          <w:szCs w:val="32"/>
        </w:rPr>
      </w:pPr>
      <w:r>
        <w:rPr>
          <w:rFonts w:hint="eastAsia" w:ascii="黑体" w:hAnsi="黑体" w:eastAsia="黑体"/>
          <w:sz w:val="32"/>
          <w:szCs w:val="32"/>
        </w:rPr>
        <w:t>第十一条</w:t>
      </w:r>
      <w:r>
        <w:rPr>
          <w:rFonts w:ascii="黑体" w:hAnsi="黑体" w:eastAsia="黑体"/>
          <w:sz w:val="32"/>
          <w:szCs w:val="32"/>
        </w:rPr>
        <w:t xml:space="preserve"> </w:t>
      </w:r>
      <w:r>
        <w:rPr>
          <w:rFonts w:hint="eastAsia" w:ascii="仿宋_GB2312" w:eastAsia="仿宋_GB2312"/>
          <w:sz w:val="32"/>
          <w:szCs w:val="32"/>
        </w:rPr>
        <w:t>水平衡测试结果用于指导计划用水管理、修订用水定额、节水统计工作和考核用水单位是否达到节水型企业、单位要求。</w:t>
      </w:r>
    </w:p>
    <w:p>
      <w:pPr>
        <w:spacing w:line="520" w:lineRule="exact"/>
        <w:ind w:firstLine="640" w:firstLineChars="200"/>
        <w:rPr>
          <w:rFonts w:ascii="仿宋_GB2312" w:eastAsia="仿宋_GB2312"/>
          <w:sz w:val="32"/>
          <w:szCs w:val="32"/>
        </w:rPr>
      </w:pPr>
      <w:r>
        <w:rPr>
          <w:rFonts w:hint="eastAsia" w:ascii="黑体" w:hAnsi="黑体" w:eastAsia="黑体"/>
          <w:sz w:val="32"/>
          <w:szCs w:val="32"/>
        </w:rPr>
        <w:t>第十二条</w:t>
      </w:r>
      <w:r>
        <w:rPr>
          <w:rFonts w:ascii="黑体" w:hAnsi="黑体" w:eastAsia="黑体"/>
          <w:sz w:val="32"/>
          <w:szCs w:val="32"/>
        </w:rPr>
        <w:t xml:space="preserve"> </w:t>
      </w:r>
      <w:r>
        <w:rPr>
          <w:rFonts w:hint="eastAsia" w:ascii="仿宋_GB2312" w:eastAsia="仿宋_GB2312"/>
          <w:sz w:val="32"/>
          <w:szCs w:val="32"/>
        </w:rPr>
        <w:t>建设行政主管部门应当</w:t>
      </w:r>
      <w:r>
        <w:rPr>
          <w:rFonts w:hint="eastAsia" w:ascii="仿宋_GB2312" w:eastAsia="仿宋_GB2312"/>
          <w:sz w:val="32"/>
          <w:szCs w:val="32"/>
          <w:lang w:eastAsia="zh-CN"/>
        </w:rPr>
        <w:t>定期</w:t>
      </w:r>
      <w:r>
        <w:rPr>
          <w:rFonts w:hint="eastAsia" w:ascii="仿宋_GB2312" w:eastAsia="仿宋_GB2312"/>
          <w:sz w:val="32"/>
          <w:szCs w:val="32"/>
        </w:rPr>
        <w:t>组织用水单位开展水平衡测试专题培训。</w:t>
      </w:r>
    </w:p>
    <w:p>
      <w:pPr>
        <w:spacing w:line="520" w:lineRule="exact"/>
        <w:ind w:firstLine="640" w:firstLineChars="200"/>
        <w:rPr>
          <w:rFonts w:ascii="仿宋_GB2312" w:eastAsia="仿宋_GB2312"/>
          <w:sz w:val="32"/>
          <w:szCs w:val="32"/>
        </w:rPr>
      </w:pPr>
      <w:r>
        <w:rPr>
          <w:rFonts w:hint="eastAsia" w:ascii="黑体" w:hAnsi="黑体" w:eastAsia="黑体"/>
          <w:sz w:val="32"/>
          <w:szCs w:val="32"/>
        </w:rPr>
        <w:t>第十三条</w:t>
      </w:r>
      <w:r>
        <w:rPr>
          <w:rFonts w:ascii="黑体" w:hAnsi="黑体" w:eastAsia="黑体"/>
          <w:sz w:val="32"/>
          <w:szCs w:val="32"/>
        </w:rPr>
        <w:t xml:space="preserve"> </w:t>
      </w:r>
      <w:r>
        <w:rPr>
          <w:rFonts w:hint="eastAsia" w:ascii="仿宋_GB2312" w:eastAsia="仿宋_GB2312"/>
          <w:sz w:val="32"/>
          <w:szCs w:val="32"/>
        </w:rPr>
        <w:t>用水单位未按照要求开展水平衡测试的，按《福建省节约用水管理办法》等规定予以处罚。</w:t>
      </w:r>
    </w:p>
    <w:p>
      <w:pPr>
        <w:spacing w:line="520" w:lineRule="exact"/>
        <w:ind w:firstLine="640" w:firstLineChars="200"/>
        <w:rPr>
          <w:rFonts w:ascii="仿宋_GB2312" w:eastAsia="仿宋_GB2312"/>
          <w:sz w:val="32"/>
          <w:szCs w:val="32"/>
        </w:rPr>
      </w:pPr>
      <w:r>
        <w:rPr>
          <w:rFonts w:hint="eastAsia" w:ascii="黑体" w:hAnsi="黑体" w:eastAsia="黑体"/>
          <w:sz w:val="32"/>
          <w:szCs w:val="32"/>
        </w:rPr>
        <w:t>第十四条</w:t>
      </w:r>
      <w:r>
        <w:rPr>
          <w:rFonts w:hint="eastAsia" w:ascii="仿宋_GB2312" w:eastAsia="仿宋_GB2312"/>
          <w:sz w:val="32"/>
          <w:szCs w:val="32"/>
        </w:rPr>
        <w:t xml:space="preserve"> 本规定由</w:t>
      </w:r>
      <w:r>
        <w:rPr>
          <w:rFonts w:ascii="仿宋_GB2312" w:eastAsia="仿宋_GB2312"/>
          <w:sz w:val="32"/>
          <w:szCs w:val="32"/>
        </w:rPr>
        <w:t>福州市</w:t>
      </w:r>
      <w:r>
        <w:rPr>
          <w:rFonts w:hint="eastAsia" w:ascii="仿宋_GB2312" w:eastAsia="仿宋_GB2312"/>
          <w:sz w:val="32"/>
          <w:szCs w:val="32"/>
          <w:lang w:eastAsia="zh-CN"/>
        </w:rPr>
        <w:t>住房和</w:t>
      </w:r>
      <w:r>
        <w:rPr>
          <w:rFonts w:ascii="仿宋_GB2312" w:eastAsia="仿宋_GB2312"/>
          <w:sz w:val="32"/>
          <w:szCs w:val="32"/>
        </w:rPr>
        <w:t>城乡建设局</w:t>
      </w:r>
      <w:r>
        <w:rPr>
          <w:rFonts w:hint="eastAsia" w:ascii="仿宋_GB2312" w:eastAsia="仿宋_GB2312"/>
          <w:sz w:val="32"/>
          <w:szCs w:val="32"/>
        </w:rPr>
        <w:t>负责解释。</w:t>
      </w:r>
    </w:p>
    <w:p>
      <w:pPr>
        <w:spacing w:line="520" w:lineRule="exact"/>
        <w:ind w:firstLine="640" w:firstLineChars="200"/>
        <w:rPr>
          <w:rFonts w:ascii="仿宋_GB2312" w:eastAsia="仿宋_GB2312"/>
          <w:sz w:val="32"/>
          <w:szCs w:val="32"/>
        </w:rPr>
      </w:pPr>
      <w:r>
        <w:rPr>
          <w:rFonts w:hint="eastAsia" w:ascii="黑体" w:hAnsi="黑体" w:eastAsia="黑体"/>
          <w:sz w:val="32"/>
          <w:szCs w:val="32"/>
        </w:rPr>
        <w:t>第十五条</w:t>
      </w:r>
      <w:r>
        <w:rPr>
          <w:rFonts w:ascii="黑体" w:hAnsi="黑体" w:eastAsia="黑体"/>
          <w:sz w:val="32"/>
          <w:szCs w:val="32"/>
        </w:rPr>
        <w:t xml:space="preserve"> </w:t>
      </w:r>
      <w:bookmarkStart w:id="0" w:name="OLE_LINK1"/>
      <w:bookmarkStart w:id="1" w:name="OLE_LINK2"/>
      <w:r>
        <w:rPr>
          <w:rFonts w:hint="eastAsia" w:ascii="仿宋_GB2312" w:eastAsia="仿宋_GB2312"/>
          <w:sz w:val="32"/>
          <w:szCs w:val="32"/>
        </w:rPr>
        <w:t>本规定自</w:t>
      </w:r>
      <w:r>
        <w:rPr>
          <w:rFonts w:hint="eastAsia" w:ascii="仿宋_GB2312" w:eastAsia="仿宋_GB2312"/>
          <w:sz w:val="32"/>
          <w:szCs w:val="32"/>
          <w:lang w:val="en-US" w:eastAsia="zh-CN"/>
        </w:rPr>
        <w:t>2026年1月29</w:t>
      </w:r>
      <w:r>
        <w:rPr>
          <w:rFonts w:hint="eastAsia" w:ascii="仿宋_GB2312" w:eastAsia="仿宋_GB2312"/>
          <w:sz w:val="32"/>
          <w:szCs w:val="32"/>
        </w:rPr>
        <w:t>日起施行，有效期5年。《福州市城乡建设局关于印发</w:t>
      </w:r>
      <w:r>
        <w:rPr>
          <w:rFonts w:hint="eastAsia" w:ascii="仿宋_GB2312" w:eastAsia="仿宋_GB2312"/>
          <w:sz w:val="32"/>
          <w:szCs w:val="32"/>
          <w:lang w:val="en-US" w:eastAsia="zh-CN"/>
        </w:rPr>
        <w:t>&lt;</w:t>
      </w:r>
      <w:r>
        <w:rPr>
          <w:rFonts w:hint="eastAsia" w:ascii="仿宋_GB2312" w:eastAsia="仿宋_GB2312"/>
          <w:sz w:val="32"/>
          <w:szCs w:val="32"/>
        </w:rPr>
        <w:t>福州市水平衡测试管理规定</w:t>
      </w:r>
      <w:r>
        <w:rPr>
          <w:rFonts w:hint="eastAsia" w:ascii="仿宋_GB2312" w:eastAsia="仿宋_GB2312"/>
          <w:sz w:val="32"/>
          <w:szCs w:val="32"/>
          <w:lang w:val="en-US" w:eastAsia="zh-CN"/>
        </w:rPr>
        <w:t>&gt;</w:t>
      </w:r>
      <w:r>
        <w:rPr>
          <w:rFonts w:hint="eastAsia" w:ascii="仿宋_GB2312" w:eastAsia="仿宋_GB2312"/>
          <w:sz w:val="32"/>
          <w:szCs w:val="32"/>
        </w:rPr>
        <w:t>的通知》（榕建</w:t>
      </w:r>
      <w:r>
        <w:rPr>
          <w:rFonts w:hint="eastAsia" w:ascii="仿宋_GB2312" w:eastAsia="仿宋_GB2312"/>
          <w:sz w:val="32"/>
          <w:szCs w:val="32"/>
          <w:lang w:val="en-US" w:eastAsia="zh-CN"/>
        </w:rPr>
        <w:t>公用</w:t>
      </w:r>
      <w:r>
        <w:rPr>
          <w:rFonts w:hint="eastAsia" w:ascii="仿宋_GB2312" w:eastAsia="仿宋_GB2312"/>
          <w:sz w:val="32"/>
          <w:szCs w:val="32"/>
        </w:rPr>
        <w:t>〔202</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val="en-US" w:eastAsia="zh-CN"/>
        </w:rPr>
        <w:t>192</w:t>
      </w:r>
      <w:r>
        <w:rPr>
          <w:rFonts w:hint="eastAsia" w:ascii="仿宋_GB2312" w:eastAsia="仿宋_GB2312"/>
          <w:sz w:val="32"/>
          <w:szCs w:val="32"/>
        </w:rPr>
        <w:t>号）</w:t>
      </w:r>
      <w:r>
        <w:rPr>
          <w:rFonts w:hint="eastAsia" w:ascii="仿宋_GB2312" w:eastAsia="仿宋_GB2312"/>
          <w:sz w:val="32"/>
          <w:szCs w:val="32"/>
          <w:lang w:eastAsia="zh-CN"/>
        </w:rPr>
        <w:t>、《福州市住房和城乡建设局关于印发</w:t>
      </w:r>
      <w:r>
        <w:rPr>
          <w:rFonts w:hint="eastAsia" w:ascii="仿宋_GB2312" w:eastAsia="仿宋_GB2312"/>
          <w:sz w:val="32"/>
          <w:szCs w:val="32"/>
          <w:lang w:val="en-US" w:eastAsia="zh-CN"/>
        </w:rPr>
        <w:t>&lt;福州市水平衡测试管理规定&gt;的通知</w:t>
      </w:r>
      <w:r>
        <w:rPr>
          <w:rFonts w:hint="eastAsia" w:ascii="仿宋_GB2312" w:eastAsia="仿宋_GB2312"/>
          <w:sz w:val="32"/>
          <w:szCs w:val="32"/>
          <w:lang w:eastAsia="zh-CN"/>
        </w:rPr>
        <w:t>》</w:t>
      </w:r>
      <w:r>
        <w:rPr>
          <w:rFonts w:hint="eastAsia" w:ascii="仿宋_GB2312" w:eastAsia="仿宋_GB2312"/>
          <w:sz w:val="32"/>
          <w:szCs w:val="32"/>
        </w:rPr>
        <w:t>（榕建</w:t>
      </w:r>
      <w:r>
        <w:rPr>
          <w:rFonts w:hint="eastAsia" w:ascii="仿宋_GB2312" w:eastAsia="仿宋_GB2312"/>
          <w:sz w:val="32"/>
          <w:szCs w:val="32"/>
          <w:lang w:val="en-US" w:eastAsia="zh-CN"/>
        </w:rPr>
        <w:t>规</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5</w:t>
      </w:r>
      <w:r>
        <w:rPr>
          <w:rFonts w:hint="eastAsia" w:ascii="仿宋_GB2312" w:eastAsia="仿宋_GB2312"/>
          <w:sz w:val="32"/>
          <w:szCs w:val="32"/>
        </w:rPr>
        <w:t>号）同时废止。</w:t>
      </w:r>
    </w:p>
    <w:p>
      <w:pPr>
        <w:spacing w:line="520" w:lineRule="exact"/>
        <w:ind w:firstLine="640" w:firstLineChars="200"/>
        <w:rPr>
          <w:rFonts w:ascii="仿宋_GB2312" w:eastAsia="仿宋_GB2312"/>
          <w:sz w:val="32"/>
          <w:szCs w:val="32"/>
        </w:rPr>
      </w:pPr>
    </w:p>
    <w:bookmarkEnd w:id="0"/>
    <w:bookmarkEnd w:id="1"/>
    <w:p>
      <w:pPr>
        <w:widowControl/>
        <w:jc w:val="lef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475169"/>
    </w:sdtPr>
    <w:sdtContent>
      <w:p>
        <w:pPr>
          <w:pStyle w:val="4"/>
          <w:jc w:val="center"/>
        </w:pPr>
        <w:r>
          <w:fldChar w:fldCharType="begin"/>
        </w:r>
        <w:r>
          <w:instrText xml:space="preserve"> PAGE   \* MERGEFORMAT </w:instrText>
        </w:r>
        <w:r>
          <w:fldChar w:fldCharType="separate"/>
        </w:r>
        <w:r>
          <w:rPr>
            <w:lang w:val="zh-CN"/>
          </w:rPr>
          <w:t>3</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Njg3ODQ4OTc0NTQ3NjUxNWQ1NWQzZDgxYjBlOWEifQ=="/>
  </w:docVars>
  <w:rsids>
    <w:rsidRoot w:val="00D335B6"/>
    <w:rsid w:val="00003583"/>
    <w:rsid w:val="000140F8"/>
    <w:rsid w:val="0003694D"/>
    <w:rsid w:val="00050304"/>
    <w:rsid w:val="00055101"/>
    <w:rsid w:val="000565AB"/>
    <w:rsid w:val="00060272"/>
    <w:rsid w:val="00060405"/>
    <w:rsid w:val="00062771"/>
    <w:rsid w:val="00086A72"/>
    <w:rsid w:val="00093419"/>
    <w:rsid w:val="000A0499"/>
    <w:rsid w:val="000A3B8E"/>
    <w:rsid w:val="000A7181"/>
    <w:rsid w:val="000E655E"/>
    <w:rsid w:val="00100EBC"/>
    <w:rsid w:val="00101930"/>
    <w:rsid w:val="00125BCC"/>
    <w:rsid w:val="0013483F"/>
    <w:rsid w:val="0015684A"/>
    <w:rsid w:val="00176AA1"/>
    <w:rsid w:val="00191C21"/>
    <w:rsid w:val="0019290C"/>
    <w:rsid w:val="00195740"/>
    <w:rsid w:val="001A0BEF"/>
    <w:rsid w:val="001B1684"/>
    <w:rsid w:val="001B2173"/>
    <w:rsid w:val="001E0CB7"/>
    <w:rsid w:val="001F09BD"/>
    <w:rsid w:val="001F7341"/>
    <w:rsid w:val="00200324"/>
    <w:rsid w:val="00204FB7"/>
    <w:rsid w:val="0020735B"/>
    <w:rsid w:val="0025253E"/>
    <w:rsid w:val="00252F69"/>
    <w:rsid w:val="00262879"/>
    <w:rsid w:val="00275028"/>
    <w:rsid w:val="00293829"/>
    <w:rsid w:val="00293A3C"/>
    <w:rsid w:val="00297C63"/>
    <w:rsid w:val="002A19A4"/>
    <w:rsid w:val="002A1DD3"/>
    <w:rsid w:val="002D4A24"/>
    <w:rsid w:val="002E52ED"/>
    <w:rsid w:val="00317FBF"/>
    <w:rsid w:val="00322EB9"/>
    <w:rsid w:val="00323BF8"/>
    <w:rsid w:val="003662E3"/>
    <w:rsid w:val="00376E2A"/>
    <w:rsid w:val="00382E12"/>
    <w:rsid w:val="003A1C43"/>
    <w:rsid w:val="003D5C19"/>
    <w:rsid w:val="003E1787"/>
    <w:rsid w:val="003F183B"/>
    <w:rsid w:val="003F53DE"/>
    <w:rsid w:val="00400BC5"/>
    <w:rsid w:val="00412FFD"/>
    <w:rsid w:val="004503CD"/>
    <w:rsid w:val="004510B1"/>
    <w:rsid w:val="00453551"/>
    <w:rsid w:val="00470CFC"/>
    <w:rsid w:val="0048791B"/>
    <w:rsid w:val="00497CAF"/>
    <w:rsid w:val="004A5BE3"/>
    <w:rsid w:val="004B0E3F"/>
    <w:rsid w:val="004B4BB8"/>
    <w:rsid w:val="004C0F47"/>
    <w:rsid w:val="004E4196"/>
    <w:rsid w:val="004E5686"/>
    <w:rsid w:val="004E614B"/>
    <w:rsid w:val="004E6787"/>
    <w:rsid w:val="004F7277"/>
    <w:rsid w:val="00500E51"/>
    <w:rsid w:val="00505519"/>
    <w:rsid w:val="00507EDF"/>
    <w:rsid w:val="0051052B"/>
    <w:rsid w:val="00521C49"/>
    <w:rsid w:val="0052664D"/>
    <w:rsid w:val="005417A5"/>
    <w:rsid w:val="00561A7A"/>
    <w:rsid w:val="005705C2"/>
    <w:rsid w:val="00577FF2"/>
    <w:rsid w:val="00591EC0"/>
    <w:rsid w:val="00591FF1"/>
    <w:rsid w:val="00595EF7"/>
    <w:rsid w:val="00596A53"/>
    <w:rsid w:val="005A05AA"/>
    <w:rsid w:val="005A7CFF"/>
    <w:rsid w:val="005C4C70"/>
    <w:rsid w:val="005D074B"/>
    <w:rsid w:val="005E494D"/>
    <w:rsid w:val="005F5CE8"/>
    <w:rsid w:val="00604B37"/>
    <w:rsid w:val="0065411D"/>
    <w:rsid w:val="006878C7"/>
    <w:rsid w:val="00690F2D"/>
    <w:rsid w:val="006B48C9"/>
    <w:rsid w:val="006C5657"/>
    <w:rsid w:val="006E27E9"/>
    <w:rsid w:val="006F278F"/>
    <w:rsid w:val="0070150D"/>
    <w:rsid w:val="00707906"/>
    <w:rsid w:val="00711726"/>
    <w:rsid w:val="00712B37"/>
    <w:rsid w:val="007158A7"/>
    <w:rsid w:val="007215EE"/>
    <w:rsid w:val="007278A9"/>
    <w:rsid w:val="00731086"/>
    <w:rsid w:val="007572D6"/>
    <w:rsid w:val="00776F0B"/>
    <w:rsid w:val="00781F47"/>
    <w:rsid w:val="00786391"/>
    <w:rsid w:val="0079332B"/>
    <w:rsid w:val="00793D19"/>
    <w:rsid w:val="007B5E94"/>
    <w:rsid w:val="007C00FD"/>
    <w:rsid w:val="007D25A1"/>
    <w:rsid w:val="007E020C"/>
    <w:rsid w:val="007E5AC4"/>
    <w:rsid w:val="00827E36"/>
    <w:rsid w:val="00840D2E"/>
    <w:rsid w:val="00850D78"/>
    <w:rsid w:val="00863906"/>
    <w:rsid w:val="008661FF"/>
    <w:rsid w:val="0087365E"/>
    <w:rsid w:val="00876431"/>
    <w:rsid w:val="008B38FA"/>
    <w:rsid w:val="008D5A25"/>
    <w:rsid w:val="008E09F9"/>
    <w:rsid w:val="008E6B7D"/>
    <w:rsid w:val="008F116E"/>
    <w:rsid w:val="008F7795"/>
    <w:rsid w:val="008F7F48"/>
    <w:rsid w:val="009229C6"/>
    <w:rsid w:val="00925A1B"/>
    <w:rsid w:val="009430B4"/>
    <w:rsid w:val="009436C7"/>
    <w:rsid w:val="00957E3B"/>
    <w:rsid w:val="00971161"/>
    <w:rsid w:val="0097163D"/>
    <w:rsid w:val="00974D42"/>
    <w:rsid w:val="0097549D"/>
    <w:rsid w:val="0098445D"/>
    <w:rsid w:val="009A3769"/>
    <w:rsid w:val="009A45C5"/>
    <w:rsid w:val="009C6C2D"/>
    <w:rsid w:val="009D3B5C"/>
    <w:rsid w:val="009F4A81"/>
    <w:rsid w:val="009F59F2"/>
    <w:rsid w:val="00A00016"/>
    <w:rsid w:val="00A02065"/>
    <w:rsid w:val="00A04865"/>
    <w:rsid w:val="00A15922"/>
    <w:rsid w:val="00A16A88"/>
    <w:rsid w:val="00A43F54"/>
    <w:rsid w:val="00A510C5"/>
    <w:rsid w:val="00A5382D"/>
    <w:rsid w:val="00A57F1C"/>
    <w:rsid w:val="00A67B96"/>
    <w:rsid w:val="00A92540"/>
    <w:rsid w:val="00AA3AF5"/>
    <w:rsid w:val="00AA56AF"/>
    <w:rsid w:val="00AB439C"/>
    <w:rsid w:val="00AE76A3"/>
    <w:rsid w:val="00B24E01"/>
    <w:rsid w:val="00B45441"/>
    <w:rsid w:val="00B4626F"/>
    <w:rsid w:val="00B539DA"/>
    <w:rsid w:val="00B64323"/>
    <w:rsid w:val="00B74E32"/>
    <w:rsid w:val="00B802F9"/>
    <w:rsid w:val="00B841C8"/>
    <w:rsid w:val="00BA0B68"/>
    <w:rsid w:val="00BB0ADC"/>
    <w:rsid w:val="00BB2127"/>
    <w:rsid w:val="00BC1FDA"/>
    <w:rsid w:val="00BE1BA0"/>
    <w:rsid w:val="00BE75E3"/>
    <w:rsid w:val="00C1192B"/>
    <w:rsid w:val="00C1625D"/>
    <w:rsid w:val="00C27200"/>
    <w:rsid w:val="00C306FA"/>
    <w:rsid w:val="00C30AE0"/>
    <w:rsid w:val="00C47720"/>
    <w:rsid w:val="00C65049"/>
    <w:rsid w:val="00CA605D"/>
    <w:rsid w:val="00CC195D"/>
    <w:rsid w:val="00CE4EF5"/>
    <w:rsid w:val="00CF0D9B"/>
    <w:rsid w:val="00D120A6"/>
    <w:rsid w:val="00D23AB5"/>
    <w:rsid w:val="00D24DD7"/>
    <w:rsid w:val="00D335B6"/>
    <w:rsid w:val="00D50432"/>
    <w:rsid w:val="00D50FB0"/>
    <w:rsid w:val="00D53ADC"/>
    <w:rsid w:val="00D56ED7"/>
    <w:rsid w:val="00D76EAB"/>
    <w:rsid w:val="00DA0684"/>
    <w:rsid w:val="00DA0912"/>
    <w:rsid w:val="00DB5B25"/>
    <w:rsid w:val="00DD16B8"/>
    <w:rsid w:val="00DE0997"/>
    <w:rsid w:val="00DE59A2"/>
    <w:rsid w:val="00DF22EA"/>
    <w:rsid w:val="00E34FE3"/>
    <w:rsid w:val="00E4707C"/>
    <w:rsid w:val="00E5184A"/>
    <w:rsid w:val="00E53157"/>
    <w:rsid w:val="00E822B4"/>
    <w:rsid w:val="00E82545"/>
    <w:rsid w:val="00EB0510"/>
    <w:rsid w:val="00EC2D4B"/>
    <w:rsid w:val="00F05425"/>
    <w:rsid w:val="00F15E1F"/>
    <w:rsid w:val="00F43A3B"/>
    <w:rsid w:val="00F4799B"/>
    <w:rsid w:val="00F843FB"/>
    <w:rsid w:val="00FA516C"/>
    <w:rsid w:val="00FB588D"/>
    <w:rsid w:val="00FD1FA6"/>
    <w:rsid w:val="00FE0B27"/>
    <w:rsid w:val="00FE631B"/>
    <w:rsid w:val="00FF2181"/>
    <w:rsid w:val="016D375E"/>
    <w:rsid w:val="01BD2CB0"/>
    <w:rsid w:val="03101D05"/>
    <w:rsid w:val="04974033"/>
    <w:rsid w:val="050130A5"/>
    <w:rsid w:val="05F66F68"/>
    <w:rsid w:val="068A7B19"/>
    <w:rsid w:val="0BFD1956"/>
    <w:rsid w:val="0EFA2D6A"/>
    <w:rsid w:val="10263550"/>
    <w:rsid w:val="10CF0B06"/>
    <w:rsid w:val="11947622"/>
    <w:rsid w:val="130B0935"/>
    <w:rsid w:val="13AB51D8"/>
    <w:rsid w:val="13D60F23"/>
    <w:rsid w:val="154E7352"/>
    <w:rsid w:val="1713106C"/>
    <w:rsid w:val="19053AC2"/>
    <w:rsid w:val="1A655815"/>
    <w:rsid w:val="1CC61127"/>
    <w:rsid w:val="217B7794"/>
    <w:rsid w:val="22DE39E4"/>
    <w:rsid w:val="23AB1027"/>
    <w:rsid w:val="247A40CE"/>
    <w:rsid w:val="2762B403"/>
    <w:rsid w:val="2D4F2C44"/>
    <w:rsid w:val="2EC93AFA"/>
    <w:rsid w:val="31CF705E"/>
    <w:rsid w:val="324145AF"/>
    <w:rsid w:val="333C7425"/>
    <w:rsid w:val="355F7AB3"/>
    <w:rsid w:val="35A25616"/>
    <w:rsid w:val="3D9F59A9"/>
    <w:rsid w:val="3FF843B5"/>
    <w:rsid w:val="40C5003D"/>
    <w:rsid w:val="47E3349B"/>
    <w:rsid w:val="4B6F031D"/>
    <w:rsid w:val="4B726D7A"/>
    <w:rsid w:val="54CB1D4D"/>
    <w:rsid w:val="56317E3A"/>
    <w:rsid w:val="5ABFF8C2"/>
    <w:rsid w:val="5BEF866B"/>
    <w:rsid w:val="5CC92AFB"/>
    <w:rsid w:val="5CEE7705"/>
    <w:rsid w:val="5E9262B5"/>
    <w:rsid w:val="61B07F49"/>
    <w:rsid w:val="6233222D"/>
    <w:rsid w:val="62662345"/>
    <w:rsid w:val="62D01AF4"/>
    <w:rsid w:val="62DE0602"/>
    <w:rsid w:val="63B426D6"/>
    <w:rsid w:val="63CD2B13"/>
    <w:rsid w:val="64D413C1"/>
    <w:rsid w:val="65371A9A"/>
    <w:rsid w:val="679F572C"/>
    <w:rsid w:val="681C010E"/>
    <w:rsid w:val="68FD7540"/>
    <w:rsid w:val="68FF235B"/>
    <w:rsid w:val="69304137"/>
    <w:rsid w:val="6B1A7C4E"/>
    <w:rsid w:val="6B6139F2"/>
    <w:rsid w:val="6BF80BCC"/>
    <w:rsid w:val="6E201C6F"/>
    <w:rsid w:val="71DED271"/>
    <w:rsid w:val="72BF1C19"/>
    <w:rsid w:val="739223DE"/>
    <w:rsid w:val="74E90CC2"/>
    <w:rsid w:val="766C91AF"/>
    <w:rsid w:val="77BBB749"/>
    <w:rsid w:val="77EFEDE2"/>
    <w:rsid w:val="77FC5E00"/>
    <w:rsid w:val="7A6F9BBD"/>
    <w:rsid w:val="7B4C1B3E"/>
    <w:rsid w:val="7CAB7934"/>
    <w:rsid w:val="7CCD4D16"/>
    <w:rsid w:val="7E7DE4C1"/>
    <w:rsid w:val="7EA41683"/>
    <w:rsid w:val="7EAB0358"/>
    <w:rsid w:val="7EB72065"/>
    <w:rsid w:val="7FBAFE6A"/>
    <w:rsid w:val="7FEC2D98"/>
    <w:rsid w:val="7FFF8A75"/>
    <w:rsid w:val="8ADFA909"/>
    <w:rsid w:val="B1BE0F7A"/>
    <w:rsid w:val="B7EFE092"/>
    <w:rsid w:val="BD7F39AD"/>
    <w:rsid w:val="BFDFAF0E"/>
    <w:rsid w:val="BFFBD441"/>
    <w:rsid w:val="D7D27B8B"/>
    <w:rsid w:val="DFFEC8FE"/>
    <w:rsid w:val="EEE92848"/>
    <w:rsid w:val="F6CF4C64"/>
    <w:rsid w:val="F73F95F2"/>
    <w:rsid w:val="F77F8382"/>
    <w:rsid w:val="FB7FF19A"/>
    <w:rsid w:val="FCFF1123"/>
    <w:rsid w:val="FE6E8A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5"/>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unhideWhenUsed/>
    <w:qFormat/>
    <w:uiPriority w:val="99"/>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99"/>
    <w:rPr>
      <w:sz w:val="21"/>
      <w:szCs w:val="21"/>
    </w:rPr>
  </w:style>
  <w:style w:type="character" w:customStyle="1" w:styleId="11">
    <w:name w:val="页眉 Char"/>
    <w:basedOn w:val="9"/>
    <w:link w:val="5"/>
    <w:qFormat/>
    <w:uiPriority w:val="99"/>
    <w:rPr>
      <w:rFonts w:ascii="Calibri" w:hAnsi="Calibri" w:eastAsia="宋体" w:cs="Times New Roman"/>
      <w:sz w:val="18"/>
      <w:szCs w:val="18"/>
    </w:rPr>
  </w:style>
  <w:style w:type="character" w:customStyle="1" w:styleId="12">
    <w:name w:val="页脚 Char"/>
    <w:basedOn w:val="9"/>
    <w:link w:val="4"/>
    <w:qFormat/>
    <w:uiPriority w:val="99"/>
    <w:rPr>
      <w:rFonts w:ascii="Calibri" w:hAnsi="Calibri" w:eastAsia="宋体" w:cs="Times New Roman"/>
      <w:sz w:val="18"/>
      <w:szCs w:val="18"/>
    </w:rPr>
  </w:style>
  <w:style w:type="character" w:customStyle="1" w:styleId="13">
    <w:name w:val="批注文字 Char"/>
    <w:basedOn w:val="9"/>
    <w:link w:val="2"/>
    <w:semiHidden/>
    <w:qFormat/>
    <w:uiPriority w:val="99"/>
    <w:rPr>
      <w:rFonts w:ascii="Calibri" w:hAnsi="Calibri" w:eastAsia="宋体" w:cs="Times New Roman"/>
      <w:kern w:val="2"/>
      <w:sz w:val="21"/>
      <w:szCs w:val="24"/>
    </w:rPr>
  </w:style>
  <w:style w:type="character" w:customStyle="1" w:styleId="14">
    <w:name w:val="批注主题 Char"/>
    <w:basedOn w:val="13"/>
    <w:link w:val="6"/>
    <w:semiHidden/>
    <w:qFormat/>
    <w:uiPriority w:val="99"/>
    <w:rPr>
      <w:rFonts w:ascii="Calibri" w:hAnsi="Calibri" w:eastAsia="宋体" w:cs="Times New Roman"/>
      <w:b/>
      <w:bCs/>
      <w:kern w:val="2"/>
      <w:sz w:val="21"/>
      <w:szCs w:val="24"/>
    </w:rPr>
  </w:style>
  <w:style w:type="character" w:customStyle="1" w:styleId="15">
    <w:name w:val="批注框文本 Char"/>
    <w:basedOn w:val="9"/>
    <w:link w:val="3"/>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1</Company>
  <Pages>3</Pages>
  <Words>1255</Words>
  <Characters>1282</Characters>
  <Lines>10</Lines>
  <Paragraphs>2</Paragraphs>
  <TotalTime>4</TotalTime>
  <ScaleCrop>false</ScaleCrop>
  <LinksUpToDate>false</LinksUpToDate>
  <CharactersWithSpaces>1299</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2024-01-21T07:11:00Z</dcterms:created>
  <dc:creator>asus</dc:creator>
  <cp:lastModifiedBy>admin</cp:lastModifiedBy>
  <cp:lastPrinted>2025-09-05T17:04:00Z</cp:lastPrinted>
  <dcterms:modified xsi:type="dcterms:W3CDTF">2026-01-05T03:04:38Z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2A53DFE63B8C47B8A5C2FD1E25742AE1</vt:lpwstr>
  </property>
  <property fmtid="{D5CDD505-2E9C-101B-9397-08002B2CF9AE}" pid="4" name="KSOTemplateDocerSaveRecord">
    <vt:lpwstr>eyJoZGlkIjoiNTU0ZmIwYTQ3NzlmZGUxZmU3Zjk0M2IyZTNmM2IxNjAiLCJ1c2VySWQiOiIzODU5MTkxMjAifQ==</vt:lpwstr>
  </property>
</Properties>
</file>