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7273"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37B8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kern w:val="0"/>
          <w:sz w:val="44"/>
          <w:szCs w:val="44"/>
        </w:rPr>
        <w:t>福州市职业培训机构实地复核情况检查表</w:t>
      </w:r>
    </w:p>
    <w:bookmarkEnd w:id="0"/>
    <w:p w14:paraId="2709D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firstLine="210" w:firstLineChars="100"/>
        <w:textAlignment w:val="auto"/>
        <w:rPr>
          <w:rFonts w:ascii="仿宋_GB2312" w:hAnsi="Times New Roman" w:eastAsia="仿宋_GB2312" w:cs="Times New Roman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机构名称： </w:t>
      </w:r>
      <w:r>
        <w:rPr>
          <w:rFonts w:ascii="仿宋_GB2312" w:hAnsi="仿宋_GB2312" w:eastAsia="仿宋_GB2312" w:cs="仿宋_GB2312"/>
          <w:kern w:val="0"/>
          <w:szCs w:val="21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</w:t>
      </w:r>
      <w:r>
        <w:rPr>
          <w:rFonts w:ascii="仿宋_GB2312" w:hAnsi="仿宋_GB2312" w:eastAsia="仿宋_GB2312" w:cs="仿宋_GB2312"/>
          <w:kern w:val="0"/>
          <w:szCs w:val="21"/>
        </w:rPr>
        <w:t xml:space="preserve">      </w:t>
      </w:r>
      <w:r>
        <w:rPr>
          <w:rFonts w:hint="eastAsia" w:ascii="仿宋_GB2312" w:hAnsi="Times New Roman" w:eastAsia="仿宋_GB2312" w:cs="Times New Roman"/>
          <w:sz w:val="20"/>
          <w:szCs w:val="20"/>
        </w:rPr>
        <w:t>培训类别：  □施工现场专业人员     □建筑工人                               核对时间：     年   月   日</w:t>
      </w:r>
    </w:p>
    <w:tbl>
      <w:tblPr>
        <w:tblStyle w:val="4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4132"/>
        <w:gridCol w:w="1554"/>
        <w:gridCol w:w="1119"/>
        <w:gridCol w:w="1777"/>
        <w:gridCol w:w="1154"/>
        <w:gridCol w:w="1901"/>
        <w:gridCol w:w="993"/>
        <w:gridCol w:w="1166"/>
      </w:tblGrid>
      <w:tr w14:paraId="3C9B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731E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  <w:t>检查要点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9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  <w:t>施工现场专业人员职业培训</w:t>
            </w:r>
          </w:p>
          <w:p w14:paraId="56CE1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  <w:t>机构核对内容</w:t>
            </w: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AE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  <w:t>建筑工人职业培训</w:t>
            </w:r>
          </w:p>
          <w:p w14:paraId="1C62C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  <w:t>机构核对内容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24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  <w:t>检查情况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25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D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2DA1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09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现场情况</w:t>
            </w:r>
          </w:p>
          <w:p w14:paraId="2F8D4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（60分）</w:t>
            </w:r>
          </w:p>
        </w:tc>
        <w:tc>
          <w:tcPr>
            <w:tcW w:w="8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B4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1.是否有完整的组织机构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企业营业执照、法人登记证照、资质等级证书等证照是否齐全、有效，是否有固定场所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bidi="ar"/>
              </w:rPr>
              <w:t>若场地为租赁，租赁期不少于3年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2CF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8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20分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042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7DD7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D0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2.是否有设立职工培训中心/培训基地（培训场所大门有明显告示牌，广告牌等）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，并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有良好的通风、照明、配备消防器材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4B6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2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44E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3C84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23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7E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3.测试计算机不少于30台，人均使用面积是否符合要求，每台计算机是否配备摄像头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FF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实训场地有申请培训工种相应的配套设施和实训材料等，每个工种不少于5个实训工位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bidi="ar"/>
              </w:rPr>
              <w:t>人均使用面积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是否符合要求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7FF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E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10分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87B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54E8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B9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8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4.机房是否安装一台或一台以上全方位摄像机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支持拾音功能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9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4.理论培训教室配备间数、面积（总面积不少于300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00000"/>
                <w:sz w:val="20"/>
                <w:szCs w:val="20"/>
              </w:rPr>
              <w:t xml:space="preserve"> m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²，理论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教学场地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不少于240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00000"/>
                <w:sz w:val="20"/>
                <w:szCs w:val="20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²）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3F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20分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27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6B71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15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8C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考场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设置手机专用袋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柜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97C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BD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5分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34B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5373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78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师资及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管理</w:t>
            </w:r>
          </w:p>
          <w:p w14:paraId="02D41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情况</w:t>
            </w:r>
          </w:p>
          <w:p w14:paraId="1CE79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（40分）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B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1.社保缴纳在本企业或签订劳动合同的专职管理人员，人数不少于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人。</w:t>
            </w: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78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1.社保缴纳在本企业或签订劳动合同的专职管理人员，人数不少于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人。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4DE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78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10分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2C8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2F0B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AA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F7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2.每个专业岗位培训至少应有2名教师，教师应具备土建专业高级工程师职称，本科及以上学历。（允许教师兼职授课多个专业岗位）</w:t>
            </w: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0E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2.专（兼）职理论教师每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 w:bidi="ar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工种不少于2人，具备土建专业中级及以上职称，中专及以上学历，有3年及以上的现场实际工作经验。（允许教师兼职授课多个工种）（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305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</w:tcPr>
          <w:p w14:paraId="64F4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0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0分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E103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23E0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B1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BE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04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3.专（兼）职实训教师每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 w:bidi="ar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工种不少于5人，具备土建专业中级及以上职称，中专及以上学历，有3年及以上的现场实际工作经验。（允许教师兼职授课多个工种）（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30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</w:tcPr>
          <w:p w14:paraId="6764E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E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E858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0780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7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6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BB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4.考评人员不少于5人，具备土建专业初级及以上职称，中专及以上学历，有3年及以上的现场实际工作经验（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305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8ED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D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A80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1380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C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合计得分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753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11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处理建议</w:t>
            </w:r>
          </w:p>
        </w:tc>
        <w:tc>
          <w:tcPr>
            <w:tcW w:w="8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1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6B6E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D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培训机构名称</w:t>
            </w:r>
          </w:p>
        </w:tc>
        <w:tc>
          <w:tcPr>
            <w:tcW w:w="6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DA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A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培训机构负责人签字</w:t>
            </w:r>
          </w:p>
        </w:tc>
        <w:tc>
          <w:tcPr>
            <w:tcW w:w="4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B0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  <w:tr w14:paraId="3CE1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检查单位名称</w:t>
            </w:r>
          </w:p>
        </w:tc>
        <w:tc>
          <w:tcPr>
            <w:tcW w:w="6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9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福州市住房和城乡建设局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1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检查人员签字</w:t>
            </w:r>
          </w:p>
          <w:p w14:paraId="0FA87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（2名及以上）</w:t>
            </w:r>
          </w:p>
        </w:tc>
        <w:tc>
          <w:tcPr>
            <w:tcW w:w="4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A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351E588">
      <w:pPr>
        <w:spacing w:line="240" w:lineRule="exact"/>
      </w:pPr>
      <w:r>
        <w:rPr>
          <w:rFonts w:ascii="仿宋_GB2312" w:hAnsi="Times New Roman" w:eastAsia="仿宋_GB2312" w:cs="Times New Roman"/>
          <w:color w:val="000000"/>
          <w:spacing w:val="-6"/>
          <w:sz w:val="20"/>
          <w:szCs w:val="20"/>
        </w:rPr>
        <w:t>备注：</w:t>
      </w:r>
      <w:r>
        <w:rPr>
          <w:rFonts w:hint="eastAsia" w:ascii="仿宋_GB2312" w:hAnsi="Times New Roman" w:eastAsia="仿宋_GB2312" w:cs="Times New Roman"/>
          <w:color w:val="000000"/>
          <w:spacing w:val="-6"/>
          <w:sz w:val="20"/>
          <w:szCs w:val="20"/>
          <w:lang w:eastAsia="zh-CN"/>
        </w:rPr>
        <w:t>得分</w:t>
      </w:r>
      <w:r>
        <w:rPr>
          <w:rFonts w:hint="eastAsia" w:ascii="仿宋_GB2312" w:hAnsi="Times New Roman" w:eastAsia="仿宋_GB2312" w:cs="Times New Roman"/>
          <w:color w:val="000000"/>
          <w:spacing w:val="-6"/>
          <w:sz w:val="20"/>
          <w:szCs w:val="20"/>
        </w:rPr>
        <w:t>采用百分制，两张表格得分各取5</w:t>
      </w:r>
      <w:r>
        <w:rPr>
          <w:rFonts w:ascii="仿宋_GB2312" w:hAnsi="Times New Roman" w:eastAsia="仿宋_GB2312" w:cs="Times New Roman"/>
          <w:color w:val="000000"/>
          <w:spacing w:val="-6"/>
          <w:sz w:val="20"/>
          <w:szCs w:val="20"/>
        </w:rPr>
        <w:t>0%</w:t>
      </w:r>
      <w:r>
        <w:rPr>
          <w:rFonts w:hint="eastAsia" w:ascii="仿宋_GB2312" w:hAnsi="Times New Roman" w:eastAsia="仿宋_GB2312" w:cs="Times New Roman"/>
          <w:color w:val="000000"/>
          <w:spacing w:val="-6"/>
          <w:sz w:val="20"/>
          <w:szCs w:val="20"/>
        </w:rPr>
        <w:t>，</w:t>
      </w:r>
      <w:r>
        <w:rPr>
          <w:rFonts w:hint="eastAsia" w:ascii="Times New Roman" w:hAnsi="Times New Roman" w:eastAsia="仿宋_GB2312" w:cs="Times New Roman"/>
          <w:szCs w:val="21"/>
        </w:rPr>
        <w:t>合计得分</w:t>
      </w:r>
      <w:r>
        <w:rPr>
          <w:rFonts w:hint="eastAsia" w:ascii="仿宋_GB2312" w:hAnsi="Times New Roman" w:eastAsia="仿宋_GB2312" w:cs="Times New Roman"/>
          <w:szCs w:val="21"/>
        </w:rPr>
        <w:t>≥</w:t>
      </w:r>
      <w:r>
        <w:rPr>
          <w:rFonts w:hint="eastAsia" w:ascii="Times New Roman" w:hAnsi="Times New Roman" w:eastAsia="仿宋_GB2312" w:cs="Times New Roman"/>
          <w:szCs w:val="21"/>
        </w:rPr>
        <w:t>8</w:t>
      </w:r>
      <w:r>
        <w:rPr>
          <w:rFonts w:ascii="Times New Roman" w:hAnsi="Times New Roman" w:eastAsia="仿宋_GB2312" w:cs="Times New Roman"/>
          <w:szCs w:val="21"/>
        </w:rPr>
        <w:t>5</w:t>
      </w:r>
      <w:r>
        <w:rPr>
          <w:rFonts w:hint="eastAsia" w:ascii="Times New Roman" w:hAnsi="Times New Roman" w:eastAsia="仿宋_GB2312" w:cs="Times New Roman"/>
          <w:szCs w:val="21"/>
        </w:rPr>
        <w:t>分的机构合格，低于8</w:t>
      </w:r>
      <w:r>
        <w:rPr>
          <w:rFonts w:ascii="Times New Roman" w:hAnsi="Times New Roman" w:eastAsia="仿宋_GB2312" w:cs="Times New Roman"/>
          <w:szCs w:val="21"/>
        </w:rPr>
        <w:t>5</w:t>
      </w:r>
      <w:r>
        <w:rPr>
          <w:rFonts w:hint="eastAsia" w:ascii="Times New Roman" w:hAnsi="Times New Roman" w:eastAsia="仿宋_GB2312" w:cs="Times New Roman"/>
          <w:szCs w:val="21"/>
        </w:rPr>
        <w:t>分的机构</w:t>
      </w:r>
      <w:r>
        <w:rPr>
          <w:rFonts w:ascii="Times New Roman" w:hAnsi="Times New Roman" w:eastAsia="仿宋_GB2312" w:cs="Times New Roman"/>
          <w:szCs w:val="21"/>
        </w:rPr>
        <w:t>根据存在的问题</w:t>
      </w:r>
      <w:r>
        <w:rPr>
          <w:rFonts w:hint="eastAsia" w:ascii="Times New Roman" w:hAnsi="Times New Roman" w:eastAsia="仿宋_GB2312" w:cs="Times New Roman"/>
          <w:szCs w:val="21"/>
        </w:rPr>
        <w:t>限期</w:t>
      </w:r>
      <w:r>
        <w:rPr>
          <w:rFonts w:ascii="Times New Roman" w:hAnsi="Times New Roman" w:eastAsia="仿宋_GB2312" w:cs="Times New Roman"/>
          <w:szCs w:val="21"/>
        </w:rPr>
        <w:t>整改，</w:t>
      </w:r>
      <w:r>
        <w:rPr>
          <w:rFonts w:hint="eastAsia" w:ascii="Times New Roman" w:hAnsi="Times New Roman" w:eastAsia="仿宋_GB2312" w:cs="Times New Roman"/>
          <w:szCs w:val="21"/>
        </w:rPr>
        <w:t>拒不整改的机构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予以</w:t>
      </w:r>
      <w:r>
        <w:rPr>
          <w:rFonts w:hint="eastAsia" w:ascii="Times New Roman" w:hAnsi="Times New Roman" w:eastAsia="仿宋_GB2312" w:cs="Times New Roman"/>
          <w:szCs w:val="21"/>
        </w:rPr>
        <w:t>上报省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住建</w:t>
      </w:r>
      <w:r>
        <w:rPr>
          <w:rFonts w:hint="eastAsia" w:ascii="Times New Roman" w:hAnsi="Times New Roman" w:eastAsia="仿宋_GB2312" w:cs="Times New Roman"/>
          <w:szCs w:val="21"/>
        </w:rPr>
        <w:t>厅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处理</w:t>
      </w:r>
      <w:r>
        <w:rPr>
          <w:rFonts w:hint="eastAsia" w:ascii="Times New Roman" w:hAnsi="Times New Roman" w:eastAsia="仿宋_GB2312" w:cs="Times New Roman"/>
          <w:szCs w:val="21"/>
        </w:rPr>
        <w:t>。</w:t>
      </w:r>
    </w:p>
    <w:sectPr>
      <w:footerReference r:id="rId3" w:type="default"/>
      <w:pgSz w:w="16838" w:h="11906" w:orient="landscape"/>
      <w:pgMar w:top="550" w:right="720" w:bottom="550" w:left="720" w:header="851" w:footer="992" w:gutter="0"/>
      <w:pgNumType w:fmt="numberInDash" w:start="1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2A7590-8A61-450A-A28C-5F8D5C1D90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0E7D30-2293-46F0-898E-A3A00AC5ECC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933F0DA-239A-4A5B-B490-08A13B229B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318682"/>
      <w:showingPlcHdr/>
    </w:sdtPr>
    <w:sdtContent>
      <w:p w14:paraId="0EEE2BE4">
        <w:pPr>
          <w:pStyle w:val="2"/>
          <w:jc w:val="center"/>
        </w:pPr>
        <w:r>
          <w:t xml:space="preserve">     </w:t>
        </w:r>
      </w:p>
    </w:sdtContent>
  </w:sdt>
  <w:p w14:paraId="6216802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F5019"/>
    <w:rsid w:val="06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15"/>
    <w:basedOn w:val="5"/>
    <w:qFormat/>
    <w:uiPriority w:val="0"/>
    <w:rPr>
      <w:rFonts w:hint="eastAsia" w:ascii="仿宋_GB2312" w:eastAsia="仿宋_GB2312"/>
      <w:color w:val="000000"/>
      <w:sz w:val="28"/>
      <w:szCs w:val="28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2025-10-22T09:12:00Z</dcterms:created>
  <dc:creator>用户</dc:creator>
  <cp:lastModifiedBy>用户</cp:lastModifiedBy>
  <dcterms:modified xsi:type="dcterms:W3CDTF">2025-10-22T09:13:07Z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7047FE0F0549483C825E54761D3C1F3E_11</vt:lpwstr>
  </property>
  <property fmtid="{D5CDD505-2E9C-101B-9397-08002B2CF9AE}" pid="4" name="KSOTemplateDocerSaveRecord">
    <vt:lpwstr>eyJoZGlkIjoiYzIzNjhjZjkxMjg2OGJjOTQ0NThhNzBhOGI4YTVmYWYiLCJ1c2VySWQiOiI4NDI0MTg1MjYifQ==</vt:lpwstr>
  </property>
</Properties>
</file>