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7"/>
        <w:tblW w:w="0" w:type="auto"/>
        <w:tblInd w:w="0" w:type="dxa"/>
        <w:tblLayout w:type="fixed"/>
        <w:tblCellMar>
          <w:top w:w="0" w:type="dxa"/>
          <w:left w:w="0" w:type="dxa"/>
          <w:bottom w:w="0" w:type="dxa"/>
          <w:right w:w="0" w:type="dxa"/>
        </w:tblCellMar>
      </w:tblPr>
      <w:tblGrid>
        <w:gridCol w:w="8843"/>
      </w:tblGrid>
      <w:tr w14:paraId="3F96DB8F">
        <w:tblPrEx>
          <w:tblCellMar>
            <w:top w:w="0" w:type="dxa"/>
            <w:left w:w="0" w:type="dxa"/>
            <w:bottom w:w="0" w:type="dxa"/>
            <w:right w:w="0" w:type="dxa"/>
          </w:tblCellMar>
        </w:tblPrEx>
        <w:trPr>
          <w:cantSplit/>
          <w:trHeight w:val="402" w:hRule="exact"/>
        </w:trPr>
        <w:tc>
          <w:tcPr>
            <w:tcW w:w="8843" w:type="dxa"/>
            <w:noWrap w:val="0"/>
            <w:vAlign w:val="top"/>
          </w:tcPr>
          <w:p w14:paraId="57589F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szCs w:val="32"/>
                <w:lang w:eastAsia="zh-CN"/>
              </w:rPr>
            </w:pPr>
            <mc:AlternateContent>
              <mc:Choice Requires="wpsCustomData">
                <wpsCustomData:docfieldStart id="0" docfieldname="份号" hidden="0" print="1" readonly="0" index="1"/>
              </mc:Choice>
            </mc:AlternateContent>
            <mc:AlternateContent>
              <mc:Choice Requires="wpsCustomData">
                <wpsCustomData:docfieldEnd id="0"/>
              </mc:Choice>
            </mc:AlternateContent>
            <mc:AlternateContent>
              <mc:Choice Requires="wpsCustomData">
                <wpsCustomData:docfieldStart id="1" docfieldname="紧急程度" hidden="0" print="1" readonly="0" index="4"/>
              </mc:Choice>
            </mc:AlternateContent>
            <mc:AlternateContent>
              <mc:Choice Requires="wpsCustomData">
                <wpsCustomData:docfieldEnd id="1"/>
              </mc:Choice>
            </mc:AlternateContent>
          </w:p>
        </w:tc>
      </w:tr>
      <w:tr w14:paraId="653B97B9">
        <w:tblPrEx>
          <w:tblCellMar>
            <w:top w:w="0" w:type="dxa"/>
            <w:left w:w="0" w:type="dxa"/>
            <w:bottom w:w="0" w:type="dxa"/>
            <w:right w:w="0" w:type="dxa"/>
          </w:tblCellMar>
        </w:tblPrEx>
        <w:trPr>
          <w:cantSplit/>
          <w:trHeight w:val="538" w:hRule="atLeast"/>
        </w:trPr>
        <w:tc>
          <w:tcPr>
            <w:tcW w:w="8843" w:type="dxa"/>
            <w:noWrap w:val="0"/>
            <w:vAlign w:val="top"/>
          </w:tcPr>
          <w:p w14:paraId="18CBDBC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rPr>
                <w:rFonts w:hint="eastAsia" w:ascii="方正小标宋_GBK" w:hAnsi="方正小标宋_GBK" w:eastAsia="方正小标宋_GBK"/>
                <w:snapToGrid w:val="0"/>
                <w:color w:val="FF0000"/>
                <w:spacing w:val="0"/>
                <w:w w:val="52"/>
                <w:kern w:val="0"/>
                <w:sz w:val="104"/>
                <w:szCs w:val="104"/>
                <w:lang w:eastAsia="zh-CN"/>
              </w:rPr>
            </w:pPr>
            <mc:AlternateContent>
              <mc:Choice Requires="wpsCustomData">
                <wpsCustomData:docfieldStart id="2" docfieldname="发文机关名称" hidden="0" print="1" readonly="0" index="5"/>
              </mc:Choice>
            </mc:AlternateContent>
            <mc:AlternateContent>
              <mc:Choice Requires="wpsCustomData">
                <wpsCustomData:docfieldEnd id="2"/>
              </mc:Choice>
            </mc:AlternateContent>
          </w:p>
        </w:tc>
      </w:tr>
      <w:tr w14:paraId="7D6EA2B0">
        <w:tblPrEx>
          <w:tblCellMar>
            <w:top w:w="0" w:type="dxa"/>
            <w:left w:w="0" w:type="dxa"/>
            <w:bottom w:w="0" w:type="dxa"/>
            <w:right w:w="0" w:type="dxa"/>
          </w:tblCellMar>
        </w:tblPrEx>
        <w:trPr>
          <w:cantSplit/>
          <w:trHeight w:val="977" w:hRule="exact"/>
        </w:trPr>
        <w:tc>
          <w:tcPr>
            <w:tcW w:w="8843" w:type="dxa"/>
            <w:noWrap w:val="0"/>
            <w:vAlign w:val="center"/>
          </w:tcPr>
          <w:p w14:paraId="62A42407">
            <w:pPr>
              <w:keepNext w:val="0"/>
              <w:keepLines w:val="0"/>
              <w:pageBreakBefore w:val="0"/>
              <w:widowControl w:val="0"/>
              <w:kinsoku/>
              <w:overflowPunct/>
              <w:topLinePunct w:val="0"/>
              <w:autoSpaceDE/>
              <w:bidi w:val="0"/>
              <w:spacing w:line="240" w:lineRule="auto"/>
              <w:jc w:val="both"/>
              <w:textAlignment w:val="auto"/>
              <w:outlineLvl w:val="9"/>
              <w:rPr>
                <w:rFonts w:hint="eastAsia" w:ascii="仿宋_GB2312" w:hAnsi="仿宋_GB2312"/>
              </w:rPr>
            </w:pPr>
          </w:p>
        </w:tc>
      </w:tr>
      <w:tr w14:paraId="573E4BB0">
        <w:tblPrEx>
          <w:tblCellMar>
            <w:top w:w="0" w:type="dxa"/>
            <w:left w:w="0" w:type="dxa"/>
            <w:bottom w:w="0" w:type="dxa"/>
            <w:right w:w="0" w:type="dxa"/>
          </w:tblCellMar>
        </w:tblPrEx>
        <w:trPr>
          <w:cantSplit/>
          <w:trHeight w:val="665" w:hRule="atLeast"/>
        </w:trPr>
        <w:tc>
          <w:tcPr>
            <w:tcW w:w="8843" w:type="dxa"/>
            <w:noWrap w:val="0"/>
            <w:vAlign w:val="center"/>
          </w:tcPr>
          <w:p w14:paraId="012CF40C">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sz w:val="44"/>
                <w:szCs w:val="44"/>
                <w:lang w:eastAsia="zh-CN"/>
              </w:rPr>
            </w:pPr>
            <mc:AlternateContent>
              <mc:Choice Requires="wpsCustomData">
                <wpsCustomData:docfieldStart id="3" docfieldname="标题" hidden="0" print="1" readonly="0" index="9"/>
              </mc:Choice>
            </mc:AlternateContent>
            <w:bookmarkStart w:id="0" w:name="_GoBack"/>
            <w:r>
              <w:rPr>
                <w:rFonts w:hint="eastAsia" w:ascii="方正小标宋简体" w:hAnsi="方正小标宋简体" w:eastAsia="方正小标宋简体" w:cs="方正小标宋简体"/>
                <w:color w:val="000000"/>
                <w:sz w:val="44"/>
                <w:szCs w:val="44"/>
                <w:lang w:eastAsia="zh-CN"/>
              </w:rPr>
              <w:t>福州市住房和城乡建设局关于进一步规范</w:t>
            </w:r>
          </w:p>
          <w:p w14:paraId="26B74B34">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lang w:eastAsia="zh-CN"/>
              </w:rPr>
              <w:t>房屋建筑和市政基础设施工程建筑市场</w:t>
            </w:r>
          </w:p>
          <w:p w14:paraId="253DCD29">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lang w:eastAsia="zh-CN"/>
              </w:rPr>
              <w:t>建设单位责任的通知（征求意见稿）</w:t>
            </w:r>
            <mc:AlternateContent>
              <mc:Choice Requires="wpsCustomData">
                <wpsCustomData:docfieldEnd id="3"/>
              </mc:Choice>
            </mc:AlternateContent>
            <w:bookmarkEnd w:id="0"/>
          </w:p>
        </w:tc>
      </w:tr>
      <w:tr w14:paraId="2046B005">
        <w:tblPrEx>
          <w:tblCellMar>
            <w:top w:w="0" w:type="dxa"/>
            <w:left w:w="0" w:type="dxa"/>
            <w:bottom w:w="0" w:type="dxa"/>
            <w:right w:w="0" w:type="dxa"/>
          </w:tblCellMar>
        </w:tblPrEx>
        <w:trPr>
          <w:cantSplit/>
          <w:trHeight w:val="624" w:hRule="exact"/>
        </w:trPr>
        <w:tc>
          <w:tcPr>
            <w:tcW w:w="8843" w:type="dxa"/>
            <w:noWrap w:val="0"/>
            <w:vAlign w:val="center"/>
          </w:tcPr>
          <w:p w14:paraId="5A016721">
            <w:pPr>
              <w:keepNext w:val="0"/>
              <w:keepLines w:val="0"/>
              <w:pageBreakBefore w:val="0"/>
              <w:widowControl w:val="0"/>
              <w:kinsoku/>
              <w:overflowPunct/>
              <w:topLinePunct w:val="0"/>
              <w:autoSpaceDE/>
              <w:bidi w:val="0"/>
              <w:spacing w:line="520" w:lineRule="exact"/>
              <w:jc w:val="center"/>
              <w:textAlignment w:val="auto"/>
              <w:outlineLvl w:val="9"/>
              <w:rPr>
                <w:rFonts w:hint="eastAsia" w:ascii="方正仿宋_GBK" w:hAnsi="方正仿宋_GBK"/>
                <w:b/>
              </w:rPr>
            </w:pPr>
          </w:p>
        </w:tc>
      </w:tr>
    </w:tbl>
    <w:p w14:paraId="39258031">
      <w:pPr>
        <w:keepNext w:val="0"/>
        <w:keepLines w:val="0"/>
        <w:pageBreakBefore w:val="0"/>
        <w:widowControl w:val="0"/>
        <w:kinsoku/>
        <w:wordWrap/>
        <w:overflowPunct/>
        <w:topLinePunct w:val="0"/>
        <w:autoSpaceDE/>
        <w:autoSpaceDN w:val="0"/>
        <w:bidi w:val="0"/>
        <w:adjustRightInd w:val="0"/>
        <w:snapToGrid/>
        <w:spacing w:before="0" w:beforeLines="0" w:after="0" w:afterLines="0" w:line="520" w:lineRule="exact"/>
        <w:ind w:right="0" w:rightChars="0"/>
        <w:jc w:val="left"/>
        <w:textAlignment w:val="auto"/>
        <w:outlineLvl w:val="9"/>
        <w:rPr>
          <w:rFonts w:hint="eastAsia" w:ascii="仿宋_GB2312" w:hAnsi="仿宋_GB2312" w:eastAsia="仿宋_GB2312" w:cs="仿宋_GB2312"/>
          <w:szCs w:val="32"/>
        </w:rPr>
      </w:pPr>
      <mc:AlternateContent>
        <mc:Choice Requires="wpsCustomData">
          <wpsCustomData:docfieldStart id="4" docfieldname="主送机关" hidden="0" print="1" readonly="0" index="10"/>
        </mc:Choice>
      </mc:AlternateContent>
      <w:r>
        <w:rPr>
          <w:rFonts w:hint="eastAsia" w:ascii="仿宋_GB2312" w:hAnsi="仿宋_GB2312" w:cs="仿宋_GB2312"/>
          <w:szCs w:val="32"/>
          <w:lang w:eastAsia="zh-CN"/>
        </w:rPr>
        <w:t>各县（市）区住建（建设）局，各建设（代建）、施工、监理单位</w:t>
      </w:r>
      <mc:AlternateContent>
        <mc:Choice Requires="wpsCustomData">
          <wpsCustomData:docfieldEnd id="4"/>
        </mc:Choice>
      </mc:AlternateContent>
      <w:r>
        <w:rPr>
          <w:rFonts w:hint="eastAsia" w:ascii="仿宋_GB2312" w:hAnsi="仿宋_GB2312" w:eastAsia="仿宋_GB2312" w:cs="仿宋_GB2312"/>
          <w:szCs w:val="32"/>
        </w:rPr>
        <w:t>：</w:t>
      </w:r>
    </w:p>
    <w:p w14:paraId="03893CEE">
      <w:pPr>
        <w:adjustRightInd w:val="0"/>
        <w:snapToGrid w:val="0"/>
        <w:spacing w:beforeLines="0" w:afterLines="0" w:line="520" w:lineRule="exact"/>
        <w:ind w:firstLine="628" w:firstLineChars="200"/>
        <w:rPr>
          <w:rFonts w:hint="eastAsia" w:ascii="仿宋_GB2312" w:hAnsi="宋体" w:eastAsia="仿宋_GB2312" w:cs="仿宋_GB2312"/>
          <w:b w:val="0"/>
          <w:bCs w:val="0"/>
          <w:color w:val="000000"/>
          <w:kern w:val="0"/>
          <w:sz w:val="32"/>
          <w:szCs w:val="32"/>
          <w:highlight w:val="none"/>
          <w:lang w:val="en-US" w:eastAsia="zh-CN" w:bidi="ar"/>
        </w:rPr>
      </w:pPr>
      <mc:AlternateContent>
        <mc:Choice Requires="wpsCustomData">
          <wpsCustomData:docfieldStart id="5" docfieldname="正文" hidden="0" print="1" readonly="0" index="11"/>
        </mc:Choice>
      </mc:AlternateContent>
      <w:r>
        <w:rPr>
          <w:rFonts w:hint="eastAsia" w:ascii="仿宋_GB2312" w:hAnsi="宋体" w:eastAsia="仿宋_GB2312" w:cs="仿宋_GB2312"/>
          <w:b w:val="0"/>
          <w:bCs w:val="0"/>
          <w:color w:val="000000"/>
          <w:kern w:val="0"/>
          <w:sz w:val="32"/>
          <w:szCs w:val="32"/>
          <w:highlight w:val="none"/>
          <w:lang w:val="en-US" w:eastAsia="zh-CN" w:bidi="ar"/>
        </w:rPr>
        <w:t>为进一步加强建筑市场监管，维护建筑市场秩序，严厉打击和查处</w:t>
      </w:r>
      <w:r>
        <w:rPr>
          <w:rFonts w:hint="default" w:ascii="仿宋_GB2312" w:hAnsi="宋体" w:eastAsia="仿宋_GB2312" w:cs="仿宋_GB2312"/>
          <w:b w:val="0"/>
          <w:bCs w:val="0"/>
          <w:color w:val="000000"/>
          <w:kern w:val="0"/>
          <w:sz w:val="32"/>
          <w:szCs w:val="32"/>
          <w:highlight w:val="none"/>
          <w:lang w:val="en-US" w:eastAsia="zh-CN" w:bidi="ar"/>
        </w:rPr>
        <w:t>房屋建筑和市政基础设施</w:t>
      </w:r>
      <w:r>
        <w:rPr>
          <w:rFonts w:hint="eastAsia" w:ascii="仿宋_GB2312" w:hAnsi="宋体" w:eastAsia="仿宋_GB2312" w:cs="仿宋_GB2312"/>
          <w:b w:val="0"/>
          <w:bCs w:val="0"/>
          <w:color w:val="000000"/>
          <w:kern w:val="0"/>
          <w:sz w:val="32"/>
          <w:szCs w:val="32"/>
          <w:highlight w:val="none"/>
          <w:lang w:val="en-US" w:eastAsia="zh-CN" w:bidi="ar"/>
        </w:rPr>
        <w:t>工程转包、违法分包等违法违规行为，根据《建设工程质量管理条例》《住房和城乡建设部关于印发建筑工程施工发包与承包违法行为认定查处管理办法的通知》等规定，结合我市实际，现将有关工作通知如下：</w:t>
      </w:r>
    </w:p>
    <w:p w14:paraId="3424A5F6">
      <w:pPr>
        <w:adjustRightInd w:val="0"/>
        <w:snapToGrid w:val="0"/>
        <w:spacing w:beforeLines="0" w:afterLines="0" w:line="520" w:lineRule="exact"/>
        <w:ind w:firstLine="628" w:firstLineChars="200"/>
        <w:rPr>
          <w:rFonts w:hint="default" w:ascii="仿宋_GB2312" w:hAnsi="宋体" w:eastAsia="仿宋_GB2312" w:cs="仿宋_GB2312"/>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一、强化建设单位首要责任。</w:t>
      </w:r>
      <w:r>
        <w:rPr>
          <w:rFonts w:hint="eastAsia" w:ascii="仿宋_GB2312" w:hAnsi="宋体" w:eastAsia="仿宋_GB2312" w:cs="仿宋_GB2312"/>
          <w:b w:val="0"/>
          <w:bCs w:val="0"/>
          <w:color w:val="000000"/>
          <w:kern w:val="0"/>
          <w:sz w:val="32"/>
          <w:szCs w:val="32"/>
          <w:highlight w:val="none"/>
          <w:lang w:val="en-US" w:eastAsia="zh-CN" w:bidi="ar"/>
        </w:rPr>
        <w:t>建设单位作为工程建设活动的总牵头单位，是工程安全质量和项目管理第一责任人。建设单位</w:t>
      </w:r>
      <w:r>
        <w:rPr>
          <w:rFonts w:hint="default" w:ascii="仿宋_GB2312" w:hAnsi="宋体" w:eastAsia="仿宋_GB2312" w:cs="仿宋_GB2312"/>
          <w:b w:val="0"/>
          <w:bCs w:val="0"/>
          <w:color w:val="000000"/>
          <w:kern w:val="0"/>
          <w:sz w:val="32"/>
          <w:szCs w:val="32"/>
          <w:highlight w:val="none"/>
          <w:lang w:val="en-US" w:eastAsia="zh-CN" w:bidi="ar"/>
        </w:rPr>
        <w:t>要在项目招标投标、工程实施过程中切实履行防范工程转包、违法分包的首要责任，强化人员、</w:t>
      </w:r>
      <w:r>
        <w:rPr>
          <w:rFonts w:hint="eastAsia" w:ascii="仿宋_GB2312" w:hAnsi="宋体" w:eastAsia="仿宋_GB2312" w:cs="仿宋_GB2312"/>
          <w:b w:val="0"/>
          <w:bCs w:val="0"/>
          <w:color w:val="000000"/>
          <w:kern w:val="0"/>
          <w:sz w:val="32"/>
          <w:szCs w:val="32"/>
          <w:highlight w:val="none"/>
          <w:lang w:val="en-US" w:eastAsia="zh-CN" w:bidi="ar"/>
        </w:rPr>
        <w:t>工程</w:t>
      </w:r>
      <w:r>
        <w:rPr>
          <w:rFonts w:hint="default" w:ascii="仿宋_GB2312" w:hAnsi="宋体" w:eastAsia="仿宋_GB2312" w:cs="仿宋_GB2312"/>
          <w:b w:val="0"/>
          <w:bCs w:val="0"/>
          <w:color w:val="000000"/>
          <w:kern w:val="0"/>
          <w:sz w:val="32"/>
          <w:szCs w:val="32"/>
          <w:highlight w:val="none"/>
          <w:lang w:val="en-US" w:eastAsia="zh-CN" w:bidi="ar"/>
        </w:rPr>
        <w:t>资金和施工总承包、分包单位的日常跟踪管理，强化责任落实，严防工程转包、违法分包行为</w:t>
      </w:r>
      <w:r>
        <w:rPr>
          <w:rFonts w:hint="eastAsia" w:ascii="仿宋_GB2312" w:hAnsi="宋体" w:eastAsia="仿宋_GB2312" w:cs="仿宋_GB2312"/>
          <w:b w:val="0"/>
          <w:bCs w:val="0"/>
          <w:color w:val="000000"/>
          <w:kern w:val="0"/>
          <w:sz w:val="32"/>
          <w:szCs w:val="32"/>
          <w:highlight w:val="none"/>
          <w:lang w:val="en-US" w:eastAsia="zh-CN" w:bidi="ar"/>
        </w:rPr>
        <w:t>的失察失管</w:t>
      </w:r>
      <w:r>
        <w:rPr>
          <w:rFonts w:hint="default" w:ascii="仿宋_GB2312" w:hAnsi="宋体" w:eastAsia="仿宋_GB2312" w:cs="仿宋_GB2312"/>
          <w:b w:val="0"/>
          <w:bCs w:val="0"/>
          <w:color w:val="000000"/>
          <w:kern w:val="0"/>
          <w:sz w:val="32"/>
          <w:szCs w:val="32"/>
          <w:highlight w:val="none"/>
          <w:lang w:val="en-US" w:eastAsia="zh-CN" w:bidi="ar"/>
        </w:rPr>
        <w:t>。</w:t>
      </w:r>
      <w:r>
        <w:rPr>
          <w:rFonts w:hint="eastAsia" w:ascii="仿宋_GB2312" w:hAnsi="宋体" w:eastAsia="仿宋_GB2312" w:cs="仿宋_GB2312"/>
          <w:b w:val="0"/>
          <w:bCs w:val="0"/>
          <w:color w:val="000000"/>
          <w:kern w:val="0"/>
          <w:sz w:val="32"/>
          <w:szCs w:val="32"/>
          <w:highlight w:val="none"/>
          <w:lang w:val="en-US" w:eastAsia="zh-CN" w:bidi="ar"/>
        </w:rPr>
        <w:t>实施代建制的项目，由代建单位履行</w:t>
      </w:r>
      <w:r>
        <w:rPr>
          <w:rFonts w:hint="default" w:ascii="仿宋_GB2312" w:hAnsi="宋体" w:eastAsia="仿宋_GB2312" w:cs="仿宋_GB2312"/>
          <w:b w:val="0"/>
          <w:bCs w:val="0"/>
          <w:color w:val="000000"/>
          <w:kern w:val="0"/>
          <w:sz w:val="32"/>
          <w:szCs w:val="32"/>
          <w:highlight w:val="none"/>
          <w:lang w:val="en-US" w:eastAsia="zh-CN" w:bidi="ar"/>
        </w:rPr>
        <w:t>防范工程转包、违法分包的首要责任</w:t>
      </w:r>
      <w:r>
        <w:rPr>
          <w:rFonts w:hint="eastAsia" w:ascii="仿宋_GB2312" w:hAnsi="宋体" w:eastAsia="仿宋_GB2312" w:cs="仿宋_GB2312"/>
          <w:b w:val="0"/>
          <w:bCs w:val="0"/>
          <w:color w:val="000000"/>
          <w:kern w:val="0"/>
          <w:sz w:val="32"/>
          <w:szCs w:val="32"/>
          <w:highlight w:val="none"/>
          <w:lang w:val="en-US" w:eastAsia="zh-CN" w:bidi="ar"/>
        </w:rPr>
        <w:t>。</w:t>
      </w:r>
    </w:p>
    <w:p w14:paraId="3CFD061A">
      <w:pPr>
        <w:adjustRightInd w:val="0"/>
        <w:snapToGrid w:val="0"/>
        <w:spacing w:beforeLines="0" w:afterLines="0" w:line="520" w:lineRule="exact"/>
        <w:ind w:firstLine="628" w:firstLineChars="200"/>
        <w:rPr>
          <w:rFonts w:hint="eastAsia" w:ascii="仿宋_GB2312" w:hAnsi="宋体" w:eastAsia="仿宋_GB2312" w:cs="仿宋_GB2312"/>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二、严格工程发包、分包管理。</w:t>
      </w:r>
      <w:r>
        <w:rPr>
          <w:rFonts w:hint="eastAsia" w:ascii="仿宋_GB2312" w:hAnsi="宋体" w:eastAsia="仿宋_GB2312" w:cs="仿宋_GB2312"/>
          <w:b w:val="0"/>
          <w:bCs w:val="0"/>
          <w:color w:val="000000"/>
          <w:kern w:val="0"/>
          <w:sz w:val="32"/>
          <w:szCs w:val="32"/>
          <w:highlight w:val="none"/>
          <w:u w:val="none"/>
          <w:lang w:val="en-US" w:eastAsia="zh-CN" w:bidi="ar"/>
        </w:rPr>
        <w:t>建设单位不得肢解发包工程、违规指定分包单位，不得指定按照合同约定应由施工单位购入用于工程的装配式建筑构配件、建筑材料和设备或者指定生产厂、供应商；装修和改造提升相关局部墙体门窗拆除工程应纳入项目统一发包，不得肢解。建设单位开工时出具工程款支付担保，并及时续保，保障工程款支付担保足额有效。除总承包合同中约定的分包外，建筑工程总承包单位将承包工程中的部分工程发包给具有相应资质条件的分包单位，必须经建设单位认可；总承包单位将拟分包的工程和分包单位报给建设单位后，建设单位应在合同约定时限内批复，建设单位若未发现分包单位存在不具备相应资质或拟派驻项目管理人员涉嫌挂靠等异常情况，应及时批复认可，逾期视为认可。</w:t>
      </w:r>
      <w:r>
        <w:rPr>
          <w:rFonts w:hint="eastAsia" w:ascii="仿宋_GB2312" w:hAnsi="宋体" w:eastAsia="仿宋_GB2312" w:cs="仿宋_GB2312"/>
          <w:b w:val="0"/>
          <w:bCs w:val="0"/>
          <w:color w:val="000000"/>
          <w:kern w:val="0"/>
          <w:sz w:val="32"/>
          <w:szCs w:val="32"/>
          <w:highlight w:val="none"/>
          <w:lang w:val="en-US" w:eastAsia="zh-CN" w:bidi="ar"/>
        </w:rPr>
        <w:t>严禁工程项目层层转包和违法分包，建设单位对分包工程合法性负跟踪监督责任。建设单位可在合同中设置相应违约责任条款，明确违约责任处罚金额。涉嫌违法分包的，建设单位应按合同约定追究违约责任并及时报行业主管部门依法查处。</w:t>
      </w:r>
    </w:p>
    <w:p w14:paraId="6CFF44E4">
      <w:pPr>
        <w:adjustRightInd w:val="0"/>
        <w:snapToGrid w:val="0"/>
        <w:spacing w:beforeLines="0" w:afterLines="0" w:line="520" w:lineRule="exact"/>
        <w:ind w:firstLine="628" w:firstLineChars="200"/>
        <w:rPr>
          <w:rFonts w:hint="eastAsia" w:ascii="仿宋_GB2312" w:hAnsi="宋体" w:eastAsia="仿宋_GB2312" w:cs="仿宋_GB2312"/>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三、加强项目管理人员日常监管。</w:t>
      </w:r>
      <w:r>
        <w:rPr>
          <w:rFonts w:hint="eastAsia" w:ascii="仿宋_GB2312" w:hAnsi="宋体" w:eastAsia="仿宋_GB2312" w:cs="仿宋_GB2312"/>
          <w:b w:val="0"/>
          <w:bCs w:val="0"/>
          <w:color w:val="000000"/>
          <w:kern w:val="0"/>
          <w:sz w:val="32"/>
          <w:szCs w:val="32"/>
          <w:highlight w:val="none"/>
          <w:lang w:val="en-US" w:eastAsia="zh-CN" w:bidi="ar"/>
        </w:rPr>
        <w:t>建设单位应按要求落实现场管理责任，包括项目开工前核查总承包单位主要管理人员是否与投标文件、中标合同一致，其他项目管理人员是否为本单位职工且是否符合投标文件、中标合同；并在项目实施过程中核查项目管理人员到岗履职情况。发现存在以下情形的，建设单位自发现之日起7日内应报有关住建主管部门依法查处，并按合同约定追究违约责任：</w:t>
      </w:r>
    </w:p>
    <w:p w14:paraId="17EF2BA9">
      <w:pPr>
        <w:adjustRightInd w:val="0"/>
        <w:snapToGrid w:val="0"/>
        <w:spacing w:beforeLines="0" w:afterLines="0" w:line="520" w:lineRule="exact"/>
        <w:ind w:firstLine="628" w:firstLineChars="200"/>
        <w:rPr>
          <w:rFonts w:hint="eastAsia" w:ascii="仿宋_GB2312" w:hAnsi="宋体" w:eastAsia="仿宋_GB2312" w:cs="仿宋_GB2312"/>
          <w:b w:val="0"/>
          <w:bCs w:val="0"/>
          <w:color w:val="000000"/>
          <w:kern w:val="0"/>
          <w:sz w:val="32"/>
          <w:szCs w:val="32"/>
          <w:highlight w:val="none"/>
          <w:lang w:val="en-US" w:eastAsia="zh-CN" w:bidi="ar"/>
        </w:rPr>
      </w:pPr>
      <w:r>
        <w:rPr>
          <w:rFonts w:hint="eastAsia" w:ascii="仿宋_GB2312" w:hAnsi="宋体" w:eastAsia="仿宋_GB2312" w:cs="仿宋_GB2312"/>
          <w:b w:val="0"/>
          <w:bCs w:val="0"/>
          <w:color w:val="000000"/>
          <w:kern w:val="0"/>
          <w:sz w:val="32"/>
          <w:szCs w:val="32"/>
          <w:highlight w:val="none"/>
          <w:lang w:val="en-US" w:eastAsia="zh-CN" w:bidi="ar"/>
        </w:rPr>
        <w:t>1</w:t>
      </w:r>
      <w:r>
        <w:rPr>
          <w:rFonts w:hint="eastAsia" w:ascii="仿宋_GB2312" w:hAnsi="宋体" w:cs="仿宋_GB2312"/>
          <w:b w:val="0"/>
          <w:bCs w:val="0"/>
          <w:color w:val="000000"/>
          <w:kern w:val="0"/>
          <w:sz w:val="32"/>
          <w:szCs w:val="32"/>
          <w:highlight w:val="none"/>
          <w:lang w:val="en-US" w:eastAsia="zh-CN" w:bidi="ar"/>
        </w:rPr>
        <w:t>.</w:t>
      </w:r>
      <w:r>
        <w:rPr>
          <w:rFonts w:hint="eastAsia" w:ascii="仿宋_GB2312" w:hAnsi="宋体" w:eastAsia="仿宋_GB2312" w:cs="仿宋_GB2312"/>
          <w:b w:val="0"/>
          <w:bCs w:val="0"/>
          <w:color w:val="000000"/>
          <w:kern w:val="0"/>
          <w:sz w:val="32"/>
          <w:szCs w:val="32"/>
          <w:highlight w:val="none"/>
          <w:lang w:val="en-US" w:eastAsia="zh-CN" w:bidi="ar"/>
        </w:rPr>
        <w:t>施工总承包单位未派驻项目负责人、技术负责人、质量管理负责人、安全管理负责人等主要管理人员；</w:t>
      </w:r>
    </w:p>
    <w:p w14:paraId="16E5AD8C">
      <w:pPr>
        <w:adjustRightInd w:val="0"/>
        <w:snapToGrid w:val="0"/>
        <w:spacing w:beforeLines="0" w:afterLines="0" w:line="520" w:lineRule="exact"/>
        <w:ind w:firstLine="628" w:firstLineChars="200"/>
        <w:rPr>
          <w:rFonts w:hint="eastAsia" w:ascii="仿宋_GB2312" w:hAnsi="宋体" w:eastAsia="仿宋_GB2312" w:cs="仿宋_GB2312"/>
          <w:b w:val="0"/>
          <w:bCs w:val="0"/>
          <w:color w:val="000000"/>
          <w:kern w:val="0"/>
          <w:sz w:val="32"/>
          <w:szCs w:val="32"/>
          <w:highlight w:val="none"/>
          <w:lang w:val="en-US" w:eastAsia="zh-CN" w:bidi="ar"/>
        </w:rPr>
      </w:pPr>
      <w:r>
        <w:rPr>
          <w:rFonts w:hint="eastAsia" w:ascii="仿宋_GB2312" w:hAnsi="宋体" w:eastAsia="仿宋_GB2312" w:cs="仿宋_GB2312"/>
          <w:b w:val="0"/>
          <w:bCs w:val="0"/>
          <w:color w:val="000000"/>
          <w:kern w:val="0"/>
          <w:sz w:val="32"/>
          <w:szCs w:val="32"/>
          <w:highlight w:val="none"/>
          <w:lang w:val="en-US" w:eastAsia="zh-CN" w:bidi="ar"/>
        </w:rPr>
        <w:t>2</w:t>
      </w:r>
      <w:r>
        <w:rPr>
          <w:rFonts w:hint="eastAsia" w:ascii="仿宋_GB2312" w:hAnsi="宋体" w:cs="仿宋_GB2312"/>
          <w:b w:val="0"/>
          <w:bCs w:val="0"/>
          <w:color w:val="000000"/>
          <w:kern w:val="0"/>
          <w:sz w:val="32"/>
          <w:szCs w:val="32"/>
          <w:highlight w:val="none"/>
          <w:lang w:val="en-US" w:eastAsia="zh-CN" w:bidi="ar"/>
        </w:rPr>
        <w:t>.</w:t>
      </w:r>
      <w:r>
        <w:rPr>
          <w:rFonts w:hint="eastAsia" w:ascii="仿宋_GB2312" w:hAnsi="宋体" w:eastAsia="仿宋_GB2312" w:cs="仿宋_GB2312"/>
          <w:b w:val="0"/>
          <w:bCs w:val="0"/>
          <w:color w:val="000000"/>
          <w:kern w:val="0"/>
          <w:sz w:val="32"/>
          <w:szCs w:val="32"/>
          <w:highlight w:val="none"/>
          <w:lang w:val="en-US" w:eastAsia="zh-CN" w:bidi="ar"/>
        </w:rPr>
        <w:t>施工总承包单位派驻的项目负责人、技术负责人、质量管理负责人、安全管理负责人等主要管理人员与施工总承包单位没有订立劳动合同，或没有建立劳动工资和社会养老保险关系；</w:t>
      </w:r>
    </w:p>
    <w:p w14:paraId="710723E2">
      <w:pPr>
        <w:adjustRightInd w:val="0"/>
        <w:snapToGrid w:val="0"/>
        <w:spacing w:beforeLines="0" w:afterLines="0" w:line="520" w:lineRule="exact"/>
        <w:ind w:firstLine="628" w:firstLineChars="200"/>
        <w:rPr>
          <w:rFonts w:hint="eastAsia" w:ascii="仿宋_GB2312" w:hAnsi="宋体" w:eastAsia="仿宋_GB2312" w:cs="仿宋_GB2312"/>
          <w:b w:val="0"/>
          <w:bCs w:val="0"/>
          <w:color w:val="000000"/>
          <w:kern w:val="0"/>
          <w:sz w:val="32"/>
          <w:szCs w:val="32"/>
          <w:highlight w:val="none"/>
          <w:lang w:val="en-US" w:eastAsia="zh-CN" w:bidi="ar"/>
        </w:rPr>
      </w:pPr>
      <w:r>
        <w:rPr>
          <w:rFonts w:hint="eastAsia" w:ascii="仿宋_GB2312" w:hAnsi="宋体" w:eastAsia="仿宋_GB2312" w:cs="仿宋_GB2312"/>
          <w:b w:val="0"/>
          <w:bCs w:val="0"/>
          <w:color w:val="000000"/>
          <w:kern w:val="0"/>
          <w:sz w:val="32"/>
          <w:szCs w:val="32"/>
          <w:highlight w:val="none"/>
          <w:lang w:val="en-US" w:eastAsia="zh-CN" w:bidi="ar"/>
        </w:rPr>
        <w:t>3</w:t>
      </w:r>
      <w:r>
        <w:rPr>
          <w:rFonts w:hint="eastAsia" w:ascii="仿宋_GB2312" w:hAnsi="宋体" w:cs="仿宋_GB2312"/>
          <w:b w:val="0"/>
          <w:bCs w:val="0"/>
          <w:color w:val="000000"/>
          <w:kern w:val="0"/>
          <w:sz w:val="32"/>
          <w:szCs w:val="32"/>
          <w:highlight w:val="none"/>
          <w:lang w:val="en-US" w:eastAsia="zh-CN" w:bidi="ar"/>
        </w:rPr>
        <w:t>.</w:t>
      </w:r>
      <w:r>
        <w:rPr>
          <w:rFonts w:hint="eastAsia" w:ascii="仿宋_GB2312" w:hAnsi="宋体" w:eastAsia="仿宋_GB2312" w:cs="仿宋_GB2312"/>
          <w:b w:val="0"/>
          <w:bCs w:val="0"/>
          <w:color w:val="000000"/>
          <w:kern w:val="0"/>
          <w:sz w:val="32"/>
          <w:szCs w:val="32"/>
          <w:highlight w:val="none"/>
          <w:lang w:val="en-US" w:eastAsia="zh-CN" w:bidi="ar"/>
        </w:rPr>
        <w:t>施工总承包单位派驻的项目负责人未对该工程的施工活动进行组织管理，又不能进行合理解释并提供相应证明；</w:t>
      </w:r>
    </w:p>
    <w:p w14:paraId="1E54CF1D">
      <w:pPr>
        <w:adjustRightInd w:val="0"/>
        <w:snapToGrid w:val="0"/>
        <w:spacing w:beforeLines="0" w:afterLines="0" w:line="520" w:lineRule="exact"/>
        <w:ind w:firstLine="628" w:firstLineChars="200"/>
        <w:rPr>
          <w:rFonts w:hint="default" w:ascii="仿宋_GB2312" w:hAnsi="宋体" w:eastAsia="仿宋_GB2312" w:cs="仿宋_GB2312"/>
          <w:b w:val="0"/>
          <w:bCs w:val="0"/>
          <w:color w:val="000000"/>
          <w:kern w:val="0"/>
          <w:sz w:val="32"/>
          <w:szCs w:val="32"/>
          <w:highlight w:val="none"/>
          <w:lang w:val="en-US" w:eastAsia="zh-CN" w:bidi="ar"/>
        </w:rPr>
      </w:pPr>
      <w:r>
        <w:rPr>
          <w:rFonts w:hint="eastAsia" w:ascii="仿宋_GB2312" w:hAnsi="宋体" w:eastAsia="仿宋_GB2312" w:cs="仿宋_GB2312"/>
          <w:b w:val="0"/>
          <w:bCs w:val="0"/>
          <w:color w:val="000000"/>
          <w:kern w:val="0"/>
          <w:sz w:val="32"/>
          <w:szCs w:val="32"/>
          <w:highlight w:val="none"/>
          <w:lang w:val="en-US" w:eastAsia="zh-CN" w:bidi="ar"/>
        </w:rPr>
        <w:t>4</w:t>
      </w:r>
      <w:r>
        <w:rPr>
          <w:rFonts w:hint="eastAsia" w:ascii="仿宋_GB2312" w:hAnsi="宋体" w:cs="仿宋_GB2312"/>
          <w:b w:val="0"/>
          <w:bCs w:val="0"/>
          <w:color w:val="000000"/>
          <w:kern w:val="0"/>
          <w:sz w:val="32"/>
          <w:szCs w:val="32"/>
          <w:highlight w:val="none"/>
          <w:lang w:val="en-US" w:eastAsia="zh-CN" w:bidi="ar"/>
        </w:rPr>
        <w:t>.</w:t>
      </w:r>
      <w:r>
        <w:rPr>
          <w:rFonts w:hint="eastAsia" w:ascii="仿宋_GB2312" w:hAnsi="宋体" w:eastAsia="仿宋_GB2312" w:cs="仿宋_GB2312"/>
          <w:b w:val="0"/>
          <w:bCs w:val="0"/>
          <w:color w:val="000000"/>
          <w:kern w:val="0"/>
          <w:sz w:val="32"/>
          <w:szCs w:val="32"/>
          <w:highlight w:val="none"/>
          <w:lang w:val="en-US" w:eastAsia="zh-CN" w:bidi="ar"/>
        </w:rPr>
        <w:t>专业分包单位未派驻现场负责人，派驻的现场负责人未与分包单位订立劳动合同，没有建立劳动工资、社会养老保险关系，或未按合同约定到岗履职。</w:t>
      </w:r>
    </w:p>
    <w:p w14:paraId="4BE2171A">
      <w:pPr>
        <w:adjustRightInd w:val="0"/>
        <w:snapToGrid w:val="0"/>
        <w:spacing w:beforeLines="0" w:afterLines="0" w:line="520" w:lineRule="exact"/>
        <w:ind w:firstLine="628" w:firstLineChars="200"/>
        <w:rPr>
          <w:rFonts w:hint="default" w:ascii="仿宋_GB2312" w:hAnsi="宋体" w:eastAsia="仿宋_GB2312" w:cs="仿宋_GB2312"/>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四、加强工程款监管。</w:t>
      </w:r>
      <w:r>
        <w:rPr>
          <w:rFonts w:hint="default" w:ascii="仿宋_GB2312" w:hAnsi="宋体" w:eastAsia="仿宋_GB2312" w:cs="仿宋_GB2312"/>
          <w:b w:val="0"/>
          <w:bCs w:val="0"/>
          <w:color w:val="000000"/>
          <w:kern w:val="0"/>
          <w:sz w:val="32"/>
          <w:szCs w:val="32"/>
          <w:highlight w:val="none"/>
          <w:lang w:val="en-US" w:eastAsia="zh-CN" w:bidi="ar"/>
        </w:rPr>
        <w:t>建设单位</w:t>
      </w:r>
      <w:r>
        <w:rPr>
          <w:rFonts w:hint="eastAsia" w:ascii="仿宋_GB2312" w:hAnsi="宋体" w:eastAsia="仿宋_GB2312" w:cs="仿宋_GB2312"/>
          <w:b w:val="0"/>
          <w:bCs w:val="0"/>
          <w:color w:val="000000"/>
          <w:kern w:val="0"/>
          <w:sz w:val="32"/>
          <w:szCs w:val="32"/>
          <w:highlight w:val="none"/>
          <w:lang w:val="en-US" w:eastAsia="zh-CN" w:bidi="ar"/>
        </w:rPr>
        <w:t>应</w:t>
      </w:r>
      <w:r>
        <w:rPr>
          <w:rFonts w:hint="default" w:ascii="仿宋_GB2312" w:hAnsi="宋体" w:eastAsia="仿宋_GB2312" w:cs="仿宋_GB2312"/>
          <w:b w:val="0"/>
          <w:bCs w:val="0"/>
          <w:color w:val="000000"/>
          <w:kern w:val="0"/>
          <w:sz w:val="32"/>
          <w:szCs w:val="32"/>
          <w:highlight w:val="none"/>
          <w:lang w:val="en-US" w:eastAsia="zh-CN" w:bidi="ar"/>
        </w:rPr>
        <w:t>强化</w:t>
      </w:r>
      <w:r>
        <w:rPr>
          <w:rFonts w:hint="eastAsia" w:ascii="仿宋_GB2312" w:hAnsi="宋体" w:eastAsia="仿宋_GB2312" w:cs="仿宋_GB2312"/>
          <w:b w:val="0"/>
          <w:bCs w:val="0"/>
          <w:color w:val="000000"/>
          <w:kern w:val="0"/>
          <w:sz w:val="32"/>
          <w:szCs w:val="32"/>
          <w:highlight w:val="none"/>
          <w:lang w:val="en-US" w:eastAsia="zh-CN" w:bidi="ar"/>
        </w:rPr>
        <w:t>工程款</w:t>
      </w:r>
      <w:r>
        <w:rPr>
          <w:rFonts w:hint="default" w:ascii="仿宋_GB2312" w:hAnsi="宋体" w:eastAsia="仿宋_GB2312" w:cs="仿宋_GB2312"/>
          <w:b w:val="0"/>
          <w:bCs w:val="0"/>
          <w:color w:val="000000"/>
          <w:kern w:val="0"/>
          <w:sz w:val="32"/>
          <w:szCs w:val="32"/>
          <w:highlight w:val="none"/>
          <w:lang w:val="en-US" w:eastAsia="zh-CN" w:bidi="ar"/>
        </w:rPr>
        <w:t>管理，加强项目</w:t>
      </w:r>
      <w:r>
        <w:rPr>
          <w:rFonts w:hint="eastAsia" w:ascii="仿宋_GB2312" w:hAnsi="宋体" w:eastAsia="仿宋_GB2312" w:cs="仿宋_GB2312"/>
          <w:b w:val="0"/>
          <w:bCs w:val="0"/>
          <w:color w:val="000000"/>
          <w:kern w:val="0"/>
          <w:sz w:val="32"/>
          <w:szCs w:val="32"/>
          <w:highlight w:val="none"/>
          <w:lang w:val="en-US" w:eastAsia="zh-CN" w:bidi="ar"/>
        </w:rPr>
        <w:t>总包工程款和分包工程款流向</w:t>
      </w:r>
      <w:r>
        <w:rPr>
          <w:rFonts w:hint="default" w:ascii="仿宋_GB2312" w:hAnsi="宋体" w:eastAsia="仿宋_GB2312" w:cs="仿宋_GB2312"/>
          <w:b w:val="0"/>
          <w:bCs w:val="0"/>
          <w:color w:val="000000"/>
          <w:kern w:val="0"/>
          <w:sz w:val="32"/>
          <w:szCs w:val="32"/>
          <w:highlight w:val="none"/>
          <w:lang w:val="en-US" w:eastAsia="zh-CN" w:bidi="ar"/>
        </w:rPr>
        <w:t>监督</w:t>
      </w:r>
      <w:r>
        <w:rPr>
          <w:rFonts w:hint="eastAsia" w:ascii="仿宋_GB2312" w:hAnsi="宋体" w:eastAsia="仿宋_GB2312" w:cs="仿宋_GB2312"/>
          <w:b w:val="0"/>
          <w:bCs w:val="0"/>
          <w:color w:val="000000"/>
          <w:kern w:val="0"/>
          <w:sz w:val="32"/>
          <w:szCs w:val="32"/>
          <w:highlight w:val="none"/>
          <w:lang w:val="en-US" w:eastAsia="zh-CN" w:bidi="ar"/>
        </w:rPr>
        <w:t>审</w:t>
      </w:r>
      <w:r>
        <w:rPr>
          <w:rFonts w:hint="default" w:ascii="仿宋_GB2312" w:hAnsi="宋体" w:eastAsia="仿宋_GB2312" w:cs="仿宋_GB2312"/>
          <w:b w:val="0"/>
          <w:bCs w:val="0"/>
          <w:color w:val="000000"/>
          <w:kern w:val="0"/>
          <w:sz w:val="32"/>
          <w:szCs w:val="32"/>
          <w:highlight w:val="none"/>
          <w:lang w:val="en-US" w:eastAsia="zh-CN" w:bidi="ar"/>
        </w:rPr>
        <w:t>查，确保</w:t>
      </w:r>
      <w:r>
        <w:rPr>
          <w:rFonts w:hint="eastAsia" w:ascii="仿宋_GB2312" w:hAnsi="宋体" w:eastAsia="仿宋_GB2312" w:cs="仿宋_GB2312"/>
          <w:b w:val="0"/>
          <w:bCs w:val="0"/>
          <w:color w:val="000000"/>
          <w:kern w:val="0"/>
          <w:sz w:val="32"/>
          <w:szCs w:val="32"/>
          <w:highlight w:val="none"/>
          <w:lang w:val="en-US" w:eastAsia="zh-CN" w:bidi="ar"/>
        </w:rPr>
        <w:t>工程款</w:t>
      </w:r>
      <w:r>
        <w:rPr>
          <w:rFonts w:hint="default" w:ascii="仿宋_GB2312" w:hAnsi="宋体" w:eastAsia="仿宋_GB2312" w:cs="仿宋_GB2312"/>
          <w:b w:val="0"/>
          <w:bCs w:val="0"/>
          <w:color w:val="000000"/>
          <w:kern w:val="0"/>
          <w:sz w:val="32"/>
          <w:szCs w:val="32"/>
          <w:highlight w:val="none"/>
          <w:lang w:val="en-US" w:eastAsia="zh-CN" w:bidi="ar"/>
        </w:rPr>
        <w:t>专款专用，防止发生挪用、转移</w:t>
      </w:r>
      <w:r>
        <w:rPr>
          <w:rFonts w:hint="eastAsia" w:ascii="仿宋_GB2312" w:hAnsi="宋体" w:eastAsia="仿宋_GB2312" w:cs="仿宋_GB2312"/>
          <w:b w:val="0"/>
          <w:bCs w:val="0"/>
          <w:color w:val="000000"/>
          <w:kern w:val="0"/>
          <w:sz w:val="32"/>
          <w:szCs w:val="32"/>
          <w:highlight w:val="none"/>
          <w:lang w:val="en-US" w:eastAsia="zh-CN" w:bidi="ar"/>
        </w:rPr>
        <w:t>工程款</w:t>
      </w:r>
      <w:r>
        <w:rPr>
          <w:rFonts w:hint="default" w:ascii="仿宋_GB2312" w:hAnsi="宋体" w:eastAsia="仿宋_GB2312" w:cs="仿宋_GB2312"/>
          <w:b w:val="0"/>
          <w:bCs w:val="0"/>
          <w:color w:val="000000"/>
          <w:kern w:val="0"/>
          <w:sz w:val="32"/>
          <w:szCs w:val="32"/>
          <w:highlight w:val="none"/>
          <w:lang w:val="en-US" w:eastAsia="zh-CN" w:bidi="ar"/>
        </w:rPr>
        <w:t>的现象。</w:t>
      </w:r>
      <w:r>
        <w:rPr>
          <w:rFonts w:hint="eastAsia" w:ascii="仿宋_GB2312" w:hAnsi="宋体" w:eastAsia="仿宋_GB2312" w:cs="仿宋_GB2312"/>
          <w:b w:val="0"/>
          <w:bCs w:val="0"/>
          <w:color w:val="000000"/>
          <w:kern w:val="0"/>
          <w:sz w:val="32"/>
          <w:szCs w:val="32"/>
          <w:highlight w:val="none"/>
          <w:lang w:val="en-US" w:eastAsia="zh-CN" w:bidi="ar"/>
        </w:rPr>
        <w:t>国有资金投资（含主导或控股）</w:t>
      </w:r>
      <w:r>
        <w:rPr>
          <w:rFonts w:hint="default" w:ascii="仿宋_GB2312" w:hAnsi="宋体" w:eastAsia="仿宋_GB2312" w:cs="仿宋_GB2312"/>
          <w:b w:val="0"/>
          <w:bCs w:val="0"/>
          <w:color w:val="000000"/>
          <w:kern w:val="0"/>
          <w:sz w:val="32"/>
          <w:szCs w:val="32"/>
          <w:highlight w:val="none"/>
          <w:lang w:val="en-US" w:eastAsia="zh-CN" w:bidi="ar"/>
        </w:rPr>
        <w:t>的建设工程项目，建设单位在办理</w:t>
      </w:r>
      <w:r>
        <w:rPr>
          <w:rFonts w:hint="eastAsia" w:ascii="仿宋_GB2312" w:hAnsi="宋体" w:eastAsia="仿宋_GB2312" w:cs="仿宋_GB2312"/>
          <w:b w:val="0"/>
          <w:bCs w:val="0"/>
          <w:color w:val="000000"/>
          <w:kern w:val="0"/>
          <w:sz w:val="32"/>
          <w:szCs w:val="32"/>
          <w:highlight w:val="none"/>
          <w:lang w:val="en-US" w:eastAsia="zh-CN" w:bidi="ar"/>
        </w:rPr>
        <w:t>工程款</w:t>
      </w:r>
      <w:r>
        <w:rPr>
          <w:rFonts w:hint="default" w:ascii="仿宋_GB2312" w:hAnsi="宋体" w:eastAsia="仿宋_GB2312" w:cs="仿宋_GB2312"/>
          <w:b w:val="0"/>
          <w:bCs w:val="0"/>
          <w:color w:val="000000"/>
          <w:kern w:val="0"/>
          <w:sz w:val="32"/>
          <w:szCs w:val="32"/>
          <w:highlight w:val="none"/>
          <w:lang w:val="en-US" w:eastAsia="zh-CN" w:bidi="ar"/>
        </w:rPr>
        <w:t>审核手续时，应要求</w:t>
      </w:r>
      <w:r>
        <w:rPr>
          <w:rFonts w:hint="eastAsia" w:ascii="仿宋_GB2312" w:hAnsi="宋体" w:eastAsia="仿宋_GB2312" w:cs="仿宋_GB2312"/>
          <w:b w:val="0"/>
          <w:bCs w:val="0"/>
          <w:color w:val="000000"/>
          <w:kern w:val="0"/>
          <w:sz w:val="32"/>
          <w:szCs w:val="32"/>
          <w:highlight w:val="none"/>
          <w:lang w:val="en-US" w:eastAsia="zh-CN" w:bidi="ar"/>
        </w:rPr>
        <w:t>总承包单位</w:t>
      </w:r>
      <w:r>
        <w:rPr>
          <w:rFonts w:hint="default" w:ascii="仿宋_GB2312" w:hAnsi="宋体" w:eastAsia="仿宋_GB2312" w:cs="仿宋_GB2312"/>
          <w:b w:val="0"/>
          <w:bCs w:val="0"/>
          <w:color w:val="000000"/>
          <w:kern w:val="0"/>
          <w:sz w:val="32"/>
          <w:szCs w:val="32"/>
          <w:highlight w:val="none"/>
          <w:lang w:val="en-US" w:eastAsia="zh-CN" w:bidi="ar"/>
        </w:rPr>
        <w:t>提供上一个支付周期内</w:t>
      </w:r>
      <w:r>
        <w:rPr>
          <w:rFonts w:hint="eastAsia" w:ascii="仿宋_GB2312" w:hAnsi="宋体" w:eastAsia="仿宋_GB2312" w:cs="仿宋_GB2312"/>
          <w:b w:val="0"/>
          <w:bCs w:val="0"/>
          <w:color w:val="000000"/>
          <w:kern w:val="0"/>
          <w:sz w:val="32"/>
          <w:szCs w:val="32"/>
          <w:highlight w:val="none"/>
          <w:lang w:val="en-US" w:eastAsia="zh-CN" w:bidi="ar"/>
        </w:rPr>
        <w:t>工程</w:t>
      </w:r>
      <w:r>
        <w:rPr>
          <w:rFonts w:hint="default" w:ascii="仿宋_GB2312" w:hAnsi="宋体" w:eastAsia="仿宋_GB2312" w:cs="仿宋_GB2312"/>
          <w:b w:val="0"/>
          <w:bCs w:val="0"/>
          <w:color w:val="000000"/>
          <w:kern w:val="0"/>
          <w:sz w:val="32"/>
          <w:szCs w:val="32"/>
          <w:highlight w:val="none"/>
          <w:lang w:val="en-US" w:eastAsia="zh-CN" w:bidi="ar"/>
        </w:rPr>
        <w:t>款使用情况</w:t>
      </w:r>
      <w:r>
        <w:rPr>
          <w:rFonts w:hint="eastAsia" w:ascii="仿宋_GB2312" w:hAnsi="宋体" w:eastAsia="仿宋_GB2312" w:cs="仿宋_GB2312"/>
          <w:b w:val="0"/>
          <w:bCs w:val="0"/>
          <w:color w:val="000000"/>
          <w:kern w:val="0"/>
          <w:sz w:val="32"/>
          <w:szCs w:val="32"/>
          <w:highlight w:val="none"/>
          <w:lang w:val="en-US" w:eastAsia="zh-CN" w:bidi="ar"/>
        </w:rPr>
        <w:t>的</w:t>
      </w:r>
      <w:r>
        <w:rPr>
          <w:rFonts w:hint="default" w:ascii="仿宋_GB2312" w:hAnsi="宋体" w:eastAsia="仿宋_GB2312" w:cs="仿宋_GB2312"/>
          <w:b w:val="0"/>
          <w:bCs w:val="0"/>
          <w:color w:val="000000"/>
          <w:kern w:val="0"/>
          <w:sz w:val="32"/>
          <w:szCs w:val="32"/>
          <w:highlight w:val="none"/>
          <w:lang w:val="en-US" w:eastAsia="zh-CN" w:bidi="ar"/>
        </w:rPr>
        <w:t>书面报告</w:t>
      </w:r>
      <w:r>
        <w:rPr>
          <w:rFonts w:hint="eastAsia" w:ascii="仿宋_GB2312" w:hAnsi="宋体" w:eastAsia="仿宋_GB2312" w:cs="仿宋_GB2312"/>
          <w:b w:val="0"/>
          <w:bCs w:val="0"/>
          <w:color w:val="000000"/>
          <w:kern w:val="0"/>
          <w:sz w:val="32"/>
          <w:szCs w:val="32"/>
          <w:highlight w:val="none"/>
          <w:lang w:val="en-US" w:eastAsia="zh-CN" w:bidi="ar"/>
        </w:rPr>
        <w:t>及相应佐证材料，并重点审查总包单位对下游支付的</w:t>
      </w:r>
      <w:r>
        <w:rPr>
          <w:rFonts w:hint="default" w:ascii="仿宋_GB2312" w:hAnsi="宋体" w:eastAsia="仿宋_GB2312" w:cs="仿宋_GB2312"/>
          <w:b w:val="0"/>
          <w:bCs w:val="0"/>
          <w:color w:val="000000"/>
          <w:kern w:val="0"/>
          <w:sz w:val="32"/>
          <w:szCs w:val="32"/>
          <w:highlight w:val="none"/>
          <w:lang w:val="en-US" w:eastAsia="zh-CN" w:bidi="ar"/>
        </w:rPr>
        <w:t>银行流水以及相应的增值税发票</w:t>
      </w:r>
      <w:r>
        <w:rPr>
          <w:rFonts w:hint="eastAsia" w:ascii="仿宋_GB2312" w:hAnsi="宋体" w:eastAsia="仿宋_GB2312" w:cs="仿宋_GB2312"/>
          <w:b w:val="0"/>
          <w:bCs w:val="0"/>
          <w:color w:val="000000"/>
          <w:kern w:val="0"/>
          <w:sz w:val="32"/>
          <w:szCs w:val="32"/>
          <w:highlight w:val="none"/>
          <w:lang w:val="en-US" w:eastAsia="zh-CN" w:bidi="ar"/>
        </w:rPr>
        <w:t>，其中总包单位支付给分包单位的工程款收款人应为经建设单位认可的分包单位</w:t>
      </w:r>
      <w:r>
        <w:rPr>
          <w:rFonts w:hint="default" w:ascii="仿宋_GB2312" w:hAnsi="宋体" w:eastAsia="仿宋_GB2312" w:cs="仿宋_GB2312"/>
          <w:b w:val="0"/>
          <w:bCs w:val="0"/>
          <w:color w:val="000000"/>
          <w:kern w:val="0"/>
          <w:sz w:val="32"/>
          <w:szCs w:val="32"/>
          <w:highlight w:val="none"/>
          <w:lang w:val="en-US" w:eastAsia="zh-CN" w:bidi="ar"/>
        </w:rPr>
        <w:t>。</w:t>
      </w:r>
      <w:r>
        <w:rPr>
          <w:rFonts w:hint="eastAsia" w:ascii="仿宋_GB2312" w:hAnsi="宋体" w:cs="仿宋_GB2312"/>
          <w:b w:val="0"/>
          <w:bCs w:val="0"/>
          <w:color w:val="000000"/>
          <w:kern w:val="0"/>
          <w:sz w:val="32"/>
          <w:szCs w:val="32"/>
          <w:highlight w:val="none"/>
          <w:lang w:val="en-US" w:eastAsia="zh-CN" w:bidi="ar"/>
        </w:rPr>
        <w:t>鼓励国有企业投资项目推行施工过程结算，缩短竣工结算时间。</w:t>
      </w:r>
    </w:p>
    <w:p w14:paraId="034A1342">
      <w:pPr>
        <w:adjustRightInd w:val="0"/>
        <w:snapToGrid w:val="0"/>
        <w:spacing w:beforeLines="0" w:afterLines="0" w:line="520" w:lineRule="exact"/>
        <w:ind w:firstLine="628" w:firstLineChars="200"/>
        <w:rPr>
          <w:b w:val="0"/>
          <w:bCs w:val="0"/>
        </w:rPr>
      </w:pPr>
      <w:r>
        <w:rPr>
          <w:rFonts w:hint="eastAsia" w:ascii="黑体" w:hAnsi="黑体" w:eastAsia="黑体" w:cs="黑体"/>
          <w:b w:val="0"/>
          <w:bCs w:val="0"/>
          <w:color w:val="000000"/>
          <w:kern w:val="0"/>
          <w:sz w:val="32"/>
          <w:szCs w:val="32"/>
          <w:highlight w:val="none"/>
          <w:lang w:val="en-US" w:eastAsia="zh-CN" w:bidi="ar"/>
        </w:rPr>
        <w:t>六、强化建设单位报告义务。</w:t>
      </w:r>
      <w:r>
        <w:rPr>
          <w:rFonts w:hint="eastAsia" w:ascii="仿宋_GB2312" w:hAnsi="宋体" w:eastAsia="仿宋_GB2312" w:cs="仿宋_GB2312"/>
          <w:b w:val="0"/>
          <w:bCs w:val="0"/>
          <w:color w:val="000000"/>
          <w:kern w:val="0"/>
          <w:sz w:val="32"/>
          <w:szCs w:val="32"/>
          <w:highlight w:val="none"/>
          <w:lang w:val="en-US" w:eastAsia="zh-CN" w:bidi="ar"/>
        </w:rPr>
        <w:t>强化建设单位主体责任，对工程款资金流向异常、项目管理人员非本单位职工等情况，要进一步摸排分析，建设单位对施工企业涉嫌转包、违法分包的应当及时报告住建主管部门。建设单位未切实履行建设单位管理责任，工程项目存在转包、违法分包行为、发生质量安全事故、欠款欠薪等问题，且建设单位未发现或发现了未报告，住建主管部门对建设单位失察失管行为进行通报，并抄送其上级部门，其中建设单位为事业单位、国有企业的同步抄报相关纪检监察部门；若项目为实施代建制的项目，则通报代建单位，并抄送代建单位纪检监察部门和建设单位。</w:t>
      </w:r>
    </w:p>
    <w:p w14:paraId="7A73B1DE">
      <w:pPr>
        <w:keepNext w:val="0"/>
        <w:keepLines w:val="0"/>
        <w:pageBreakBefore w:val="0"/>
        <w:widowControl w:val="0"/>
        <w:kinsoku/>
        <w:wordWrap/>
        <w:overflowPunct/>
        <w:topLinePunct w:val="0"/>
        <w:autoSpaceDE/>
        <w:bidi w:val="0"/>
        <w:adjustRightInd w:val="0"/>
        <w:snapToGrid w:val="0"/>
        <w:spacing w:before="0" w:beforeLines="0" w:after="0" w:afterLines="0" w:line="520" w:lineRule="exact"/>
        <w:ind w:left="0" w:leftChars="0" w:right="0" w:rightChars="0" w:firstLine="628" w:firstLineChars="200"/>
        <w:jc w:val="both"/>
        <w:textAlignment w:val="auto"/>
        <w:outlineLvl w:val="9"/>
        <w:rPr>
          <w:rFonts w:hint="eastAsia" w:ascii="黑体" w:hAnsi="黑体" w:eastAsia="黑体" w:cs="黑体"/>
          <w:color w:val="000000"/>
          <w:spacing w:val="0"/>
          <w:sz w:val="32"/>
        </w:rPr>
      </w:pPr>
      <w:r>
        <w:rPr>
          <w:rFonts w:hint="eastAsia" w:ascii="黑体" w:hAnsi="黑体" w:eastAsia="黑体" w:cs="黑体"/>
          <w:b w:val="0"/>
          <w:bCs w:val="0"/>
          <w:color w:val="000000"/>
          <w:kern w:val="0"/>
          <w:sz w:val="32"/>
          <w:szCs w:val="32"/>
          <w:highlight w:val="none"/>
          <w:lang w:eastAsia="zh-CN" w:bidi="ar"/>
        </w:rPr>
        <w:t>六、本通知自印发之日起实施，有效期五年。</w:t>
      </w:r>
      <mc:AlternateContent>
        <mc:Choice Requires="wpsCustomData">
          <wpsCustomData:docfieldEnd id="5"/>
        </mc:Choice>
      </mc:AlternateContent>
    </w:p>
    <w:p w14:paraId="5963B395">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仿宋_GB2312" w:hAnsi="仿宋_GB2312" w:eastAsia="仿宋_GB2312" w:cs="仿宋_GB2312"/>
          <w:spacing w:val="0"/>
          <w:sz w:val="32"/>
          <w:szCs w:val="32"/>
        </w:rPr>
      </w:pPr>
    </w:p>
    <w:p w14:paraId="7E54B980">
      <w:pPr>
        <w:keepNext w:val="0"/>
        <w:keepLines w:val="0"/>
        <w:pageBreakBefore w:val="0"/>
        <w:widowControl w:val="0"/>
        <w:kinsoku/>
        <w:overflowPunct/>
        <w:topLinePunct w:val="0"/>
        <w:autoSpaceDE/>
        <w:bidi w:val="0"/>
        <w:spacing w:line="520" w:lineRule="exact"/>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 xml:space="preserve">                             </w:t>
      </w:r>
    </w:p>
    <w:p w14:paraId="1C086B8D">
      <w:pPr>
        <w:keepNext w:val="0"/>
        <w:keepLines w:val="0"/>
        <w:pageBreakBefore w:val="0"/>
        <w:widowControl w:val="0"/>
        <w:kinsoku/>
        <w:overflowPunct/>
        <w:topLinePunct w:val="0"/>
        <w:autoSpaceDE/>
        <w:bidi w:val="0"/>
        <w:jc w:val="center"/>
        <w:textAlignment w:val="auto"/>
        <w:outlineLvl w:val="9"/>
        <w:rPr>
          <w:rFonts w:hint="eastAsia" w:ascii="仿宋_GB2312" w:hAnsi="仿宋_GB2312" w:eastAsia="仿宋_GB2312" w:cs="仿宋_GB2312"/>
          <w:color w:val="000000"/>
          <w:sz w:val="32"/>
          <w:szCs w:val="32"/>
          <w:lang w:eastAsia="zh-CN"/>
        </w:rPr>
      </w:pPr>
      <w:r>
        <w:rPr>
          <w:rFonts w:hint="eastAsia" w:ascii="方正仿宋_GBK" w:hAnsi="方正仿宋_GBK"/>
          <w:color w:val="000000"/>
          <w:spacing w:val="-10"/>
          <w:lang w:val="en-US" w:eastAsia="zh-CN"/>
        </w:rPr>
        <w:t xml:space="preserve"> </w:t>
      </w:r>
      <w:r>
        <w:rPr>
          <w:rFonts w:hint="eastAsia" w:ascii="仿宋_GB2312" w:hAnsi="仿宋_GB2312" w:eastAsia="仿宋_GB2312" w:cs="仿宋_GB2312"/>
          <w:color w:val="000000"/>
          <w:spacing w:val="-10"/>
          <w:sz w:val="32"/>
          <w:szCs w:val="32"/>
          <w:lang w:val="en-US" w:eastAsia="zh-CN"/>
        </w:rPr>
        <w:t xml:space="preserve">                           </w:t>
      </w:r>
      <w:r>
        <w:rPr>
          <w:rFonts w:hint="default" w:ascii="仿宋_GB2312" w:hAnsi="仿宋_GB2312" w:eastAsia="仿宋_GB2312" w:cs="仿宋_GB2312"/>
          <w:color w:val="000000"/>
          <w:spacing w:val="-10"/>
          <w:sz w:val="32"/>
          <w:szCs w:val="32"/>
          <w:lang w:val="en" w:eastAsia="zh-CN"/>
        </w:rPr>
        <w:t xml:space="preserve"> </w:t>
      </w:r>
      <w:r>
        <w:rPr>
          <w:rFonts w:hint="eastAsia" w:ascii="仿宋_GB2312" w:hAnsi="仿宋_GB2312" w:eastAsia="仿宋_GB2312" w:cs="仿宋_GB2312"/>
          <w:color w:val="000000"/>
          <w:spacing w:val="-10"/>
          <w:sz w:val="32"/>
          <w:szCs w:val="32"/>
          <w:lang w:val="en-US" w:eastAsia="zh-CN"/>
        </w:rPr>
        <w:t xml:space="preserve">    </w:t>
      </w:r>
      <w:r>
        <w:rPr>
          <w:rFonts w:hint="eastAsia" w:ascii="仿宋_GB2312" w:hAnsi="仿宋_GB2312" w:eastAsia="仿宋_GB2312" w:cs="仿宋_GB2312"/>
          <w:color w:val="000000"/>
          <w:spacing w:val="-10"/>
          <w:sz w:val="32"/>
          <w:szCs w:val="32"/>
          <w:lang w:eastAsia="zh-CN"/>
        </w:rPr>
        <w:t>福州市住房和城乡建设局</w:t>
      </w:r>
    </w:p>
    <w:p w14:paraId="67608B46">
      <w:pPr>
        <w:keepNext w:val="0"/>
        <w:keepLines w:val="0"/>
        <w:pageBreakBefore w:val="0"/>
        <w:widowControl w:val="0"/>
        <w:kinsoku/>
        <w:wordWrap/>
        <w:overflowPunct/>
        <w:topLinePunct w:val="0"/>
        <w:autoSpaceDE/>
        <w:autoSpaceDN/>
        <w:bidi w:val="0"/>
        <w:adjustRightInd/>
        <w:snapToGrid/>
        <w:spacing w:line="240" w:lineRule="atLeast"/>
        <w:ind w:left="0" w:leftChars="0" w:right="628" w:rightChars="200" w:firstLine="0" w:firstLineChars="0"/>
        <w:jc w:val="center"/>
        <w:textAlignment w:val="auto"/>
        <w:outlineLvl w:val="9"/>
        <w:rPr>
          <w:rFonts w:hint="eastAsia"/>
        </w:rPr>
      </w:pPr>
      <w:r>
        <w:rPr>
          <w:rFonts w:hint="default" w:ascii="仿宋_GB2312" w:hAnsi="仿宋_GB2312" w:eastAsia="仿宋_GB2312" w:cs="仿宋_GB2312"/>
          <w:color w:val="000000"/>
          <w:spacing w:val="-10"/>
          <w:kern w:val="2"/>
          <w:sz w:val="32"/>
          <w:szCs w:val="32"/>
          <w:lang w:val="en" w:eastAsia="zh-CN"/>
        </w:rPr>
        <w:t xml:space="preserve">                            </w:t>
      </w:r>
      <w:r>
        <w:rPr>
          <w:rFonts w:hint="eastAsia" w:ascii="仿宋_GB2312" w:hAnsi="仿宋_GB2312" w:cs="仿宋_GB2312"/>
          <w:color w:val="000000"/>
          <w:spacing w:val="-10"/>
          <w:kern w:val="2"/>
          <w:sz w:val="32"/>
          <w:szCs w:val="32"/>
          <w:lang w:val="en-US" w:eastAsia="zh-CN"/>
        </w:rPr>
        <w:t xml:space="preserve"> </w:t>
      </w:r>
      <w:r>
        <w:rPr>
          <w:rFonts w:hint="default" w:ascii="仿宋_GB2312" w:hAnsi="仿宋_GB2312" w:eastAsia="仿宋_GB2312" w:cs="仿宋_GB2312"/>
          <w:color w:val="000000"/>
          <w:spacing w:val="-10"/>
          <w:kern w:val="2"/>
          <w:sz w:val="32"/>
          <w:szCs w:val="32"/>
          <w:lang w:val="en" w:eastAsia="zh-CN"/>
        </w:rPr>
        <w:t xml:space="preserve">       </w:t>
      </w:r>
      <w:r>
        <w:rPr>
          <w:rFonts w:hint="eastAsia" w:ascii="仿宋_GB2312" w:hAnsi="仿宋_GB2312" w:eastAsia="仿宋_GB2312" w:cs="仿宋_GB2312"/>
          <w:color w:val="000000"/>
          <w:spacing w:val="-10"/>
          <w:kern w:val="2"/>
          <w:sz w:val="32"/>
          <w:szCs w:val="32"/>
          <w:lang w:val="en-US" w:eastAsia="zh-CN"/>
        </w:rPr>
        <w:t xml:space="preserve"> 202</w:t>
      </w:r>
      <w:r>
        <w:rPr>
          <w:rFonts w:hint="eastAsia" w:ascii="仿宋_GB2312" w:hAnsi="仿宋_GB2312" w:cs="仿宋_GB2312"/>
          <w:color w:val="000000"/>
          <w:spacing w:val="-10"/>
          <w:sz w:val="32"/>
          <w:szCs w:val="32"/>
          <w:lang w:val="en" w:eastAsia="zh-CN"/>
        </w:rPr>
        <w:t>６</w:t>
      </w:r>
      <w:r>
        <w:rPr>
          <w:rFonts w:hint="eastAsia" w:ascii="仿宋_GB2312" w:hAnsi="仿宋_GB2312" w:eastAsia="仿宋_GB2312" w:cs="仿宋_GB2312"/>
          <w:color w:val="000000"/>
          <w:spacing w:val="-10"/>
          <w:kern w:val="2"/>
          <w:sz w:val="32"/>
          <w:szCs w:val="32"/>
          <w:lang w:val="en-US" w:eastAsia="zh-CN"/>
        </w:rPr>
        <w:t>年</w:t>
      </w:r>
      <w:r>
        <w:rPr>
          <w:rFonts w:hint="eastAsia" w:ascii="仿宋_GB2312" w:hAnsi="仿宋_GB2312" w:cs="仿宋_GB2312"/>
          <w:color w:val="000000"/>
          <w:spacing w:val="-10"/>
          <w:sz w:val="32"/>
          <w:szCs w:val="32"/>
          <w:lang w:val="en-US" w:eastAsia="zh-CN"/>
        </w:rPr>
        <w:t>　</w:t>
      </w:r>
      <w:r>
        <w:rPr>
          <w:rFonts w:hint="eastAsia" w:ascii="仿宋_GB2312" w:hAnsi="仿宋_GB2312" w:eastAsia="仿宋_GB2312" w:cs="仿宋_GB2312"/>
          <w:color w:val="000000"/>
          <w:spacing w:val="-10"/>
          <w:sz w:val="32"/>
          <w:szCs w:val="32"/>
          <w:lang w:eastAsia="zh-CN"/>
        </w:rPr>
        <w:t>月</w:t>
      </w:r>
      <w:r>
        <w:rPr>
          <w:rFonts w:hint="eastAsia" w:ascii="仿宋_GB2312" w:hAnsi="仿宋_GB2312" w:cs="仿宋_GB2312"/>
          <w:color w:val="000000"/>
          <w:spacing w:val="-10"/>
          <w:sz w:val="32"/>
          <w:szCs w:val="32"/>
          <w:lang w:val="en-US" w:eastAsia="zh-CN"/>
        </w:rPr>
        <w:t>　　</w:t>
      </w:r>
      <w:r>
        <w:rPr>
          <w:rFonts w:hint="eastAsia" w:ascii="仿宋_GB2312" w:hAnsi="仿宋_GB2312" w:eastAsia="仿宋_GB2312" w:cs="仿宋_GB2312"/>
          <w:color w:val="000000"/>
          <w:spacing w:val="-10"/>
          <w:sz w:val="32"/>
          <w:szCs w:val="32"/>
          <w:lang w:eastAsia="zh-CN"/>
        </w:rPr>
        <w:t>日</w:t>
      </w:r>
    </w:p>
    <w:p w14:paraId="116CD680">
      <w:pPr>
        <w:pStyle w:val="2"/>
        <w:rPr>
          <w:rFonts w:hint="eastAsia" w:ascii="仿宋_GB2312" w:hAnsi="仿宋_GB2312" w:eastAsia="仿宋_GB2312" w:cs="仿宋_GB2312"/>
          <w:sz w:val="32"/>
          <w:szCs w:val="32"/>
          <w:lang w:val="en-US" w:eastAsia="zh-CN"/>
        </w:rPr>
      </w:pPr>
    </w:p>
    <w:p w14:paraId="314217C3">
      <w:pPr>
        <w:autoSpaceDN w:val="0"/>
        <w:spacing w:line="240" w:lineRule="auto"/>
        <w:jc w:val="left"/>
        <w:rPr>
          <w:rFonts w:hint="eastAsia"/>
          <w:spacing w:val="0"/>
          <w:sz w:val="32"/>
        </w:rPr>
      </w:pPr>
    </w:p>
    <w:sectPr>
      <w:footerReference r:id="rId5" w:type="default"/>
      <w:footerReference r:id="rId6" w:type="even"/>
      <w:pgSz w:w="11906" w:h="16838"/>
      <w:pgMar w:top="2098" w:right="1417" w:bottom="1587" w:left="1588" w:header="851" w:footer="1049" w:gutter="0"/>
      <w:paperSrc/>
      <w:cols w:space="720" w:num="1"/>
      <w:rtlGutter w:val="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方正仿宋_GBK">
    <w:altName w:val="微软雅黑"/>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7917F">
    <w:pPr>
      <w:pStyle w:val="5"/>
      <w:wordWrap w:val="0"/>
      <w:spacing w:line="471" w:lineRule="auto"/>
      <w:ind w:right="308" w:rightChars="100"/>
      <w:jc w:val="right"/>
      <w:rPr>
        <w:rFonts w:hint="eastAsia" w:ascii="楷体_GB2312" w:eastAsia="楷体_GB2312"/>
        <w:sz w:val="28"/>
      </w:rPr>
    </w:pPr>
    <w:r>
      <w:rPr>
        <w:rStyle w:val="9"/>
        <w:rFonts w:hint="eastAsia" w:ascii="宋体" w:hAnsi="宋体" w:eastAsia="宋体"/>
        <w:sz w:val="28"/>
      </w:rPr>
      <w:t xml:space="preserve">— </w:t>
    </w:r>
    <w:r>
      <w:rPr>
        <w:rFonts w:hint="eastAsia" w:ascii="宋体" w:hAnsi="宋体" w:eastAsia="宋体" w:cs="宋体"/>
        <w:sz w:val="28"/>
        <w:szCs w:val="28"/>
      </w:rPr>
      <w:fldChar w:fldCharType="begin"/>
    </w:r>
    <w:r>
      <w:rPr>
        <w:rStyle w:val="9"/>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lang/>
      </w:rPr>
      <w:t>3</w:t>
    </w:r>
    <w:r>
      <w:rPr>
        <w:rFonts w:hint="eastAsia" w:ascii="宋体" w:hAnsi="宋体" w:eastAsia="宋体" w:cs="宋体"/>
        <w:sz w:val="28"/>
        <w:szCs w:val="28"/>
      </w:rPr>
      <w:fldChar w:fldCharType="end"/>
    </w:r>
    <w:r>
      <w:rPr>
        <w:rFonts w:hint="eastAsia" w:ascii="宋体" w:hAnsi="宋体" w:eastAsia="宋体"/>
        <w:sz w:val="28"/>
      </w:rPr>
      <w:t xml:space="preserve"> </w:t>
    </w:r>
    <w:r>
      <w:rPr>
        <w:rStyle w:val="9"/>
        <w:rFonts w:hint="eastAsia" w:ascii="宋体" w:hAnsi="宋体" w:eastAsia="宋体"/>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FF24A">
    <w:pPr>
      <w:pStyle w:val="5"/>
      <w:spacing w:line="471" w:lineRule="auto"/>
      <w:ind w:left="308" w:leftChars="100"/>
      <w:jc w:val="left"/>
      <w:rPr>
        <w:rStyle w:val="9"/>
        <w:rFonts w:hint="eastAsia" w:ascii="宋体" w:hAnsi="宋体" w:eastAsia="宋体"/>
        <w:sz w:val="28"/>
      </w:rPr>
    </w:pPr>
    <w:r>
      <w:rPr>
        <w:rStyle w:val="9"/>
        <w:rFonts w:hint="eastAsia" w:ascii="宋体" w:hAnsi="宋体" w:eastAsia="宋体"/>
        <w:sz w:val="28"/>
      </w:rPr>
      <w:t xml:space="preserve">— </w:t>
    </w:r>
    <w:r>
      <w:rPr>
        <w:rFonts w:hint="eastAsia" w:ascii="宋体" w:hAnsi="宋体" w:eastAsia="宋体"/>
        <w:sz w:val="28"/>
      </w:rPr>
      <w:fldChar w:fldCharType="begin"/>
    </w:r>
    <w:r>
      <w:rPr>
        <w:rStyle w:val="9"/>
        <w:rFonts w:hint="eastAsia" w:ascii="宋体" w:hAnsi="宋体" w:eastAsia="宋体"/>
        <w:sz w:val="28"/>
      </w:rPr>
      <w:instrText xml:space="preserve"> PAGE </w:instrText>
    </w:r>
    <w:r>
      <w:rPr>
        <w:rFonts w:hint="eastAsia" w:ascii="宋体" w:hAnsi="宋体" w:eastAsia="宋体"/>
        <w:sz w:val="28"/>
      </w:rPr>
      <w:fldChar w:fldCharType="separate"/>
    </w:r>
    <w:r>
      <w:rPr>
        <w:rStyle w:val="9"/>
        <w:rFonts w:ascii="宋体" w:hAnsi="宋体" w:eastAsia="宋体"/>
        <w:sz w:val="28"/>
        <w:lang/>
      </w:rPr>
      <w:t>2</w:t>
    </w:r>
    <w:r>
      <w:rPr>
        <w:rFonts w:hint="eastAsia" w:ascii="宋体" w:hAnsi="宋体" w:eastAsia="宋体"/>
        <w:sz w:val="28"/>
      </w:rPr>
      <w:fldChar w:fldCharType="end"/>
    </w:r>
    <w:r>
      <w:rPr>
        <w:rFonts w:hint="eastAsia" w:ascii="宋体" w:hAnsi="宋体" w:eastAsia="宋体"/>
        <w:sz w:val="28"/>
      </w:rPr>
      <w:t xml:space="preserve"> </w:t>
    </w:r>
    <w:r>
      <w:rPr>
        <w:rStyle w:val="9"/>
        <w:rFonts w:hint="eastAsia" w:ascii="宋体" w:hAnsi="宋体" w:eastAsia="宋体"/>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pStyle w:val="11"/>
      <w:suff w:val="space"/>
      <w:lvlText w:val="第%1章"/>
      <w:lvlJc w:val="left"/>
      <w:pPr>
        <w:ind w:left="0" w:firstLine="454"/>
      </w:pPr>
      <w:rPr>
        <w:rFonts w:hint="eastAsia" w:eastAsia="方正黑体_GBK"/>
        <w:color w:val="auto"/>
      </w:rPr>
    </w:lvl>
    <w:lvl w:ilvl="1" w:tentative="0">
      <w:start w:val="1"/>
      <w:numFmt w:val="chineseCountingThousand"/>
      <w:suff w:val="space"/>
      <w:lvlText w:val="第%2条"/>
      <w:lvlJc w:val="left"/>
      <w:pPr>
        <w:ind w:left="0" w:firstLine="0"/>
      </w:pPr>
      <w:rPr>
        <w:rFonts w:hint="eastAsia" w:eastAsia="方正黑体_GBK"/>
        <w:color w:val="auto"/>
      </w:rPr>
    </w:lvl>
    <w:lvl w:ilvl="2" w:tentative="0">
      <w:start w:val="1"/>
      <w:numFmt w:val="chineseCountingThousand"/>
      <w:suff w:val="space"/>
      <w:lvlText w:val="第%3条"/>
      <w:lvlJc w:val="left"/>
      <w:pPr>
        <w:ind w:left="0" w:firstLine="454"/>
      </w:pPr>
      <w:rPr>
        <w:rFonts w:hint="eastAsia"/>
        <w:color w:val="auto"/>
      </w:rPr>
    </w:lvl>
    <w:lvl w:ilvl="3" w:tentative="0">
      <w:start w:val="1"/>
      <w:numFmt w:val="chineseCountingThousand"/>
      <w:suff w:val="space"/>
      <w:lvlText w:val="（%4）"/>
      <w:lvlJc w:val="left"/>
      <w:pPr>
        <w:ind w:left="0" w:firstLine="340"/>
      </w:pPr>
      <w:rPr>
        <w:rFonts w:hint="eastAsia"/>
        <w:color w:val="auto"/>
      </w:rPr>
    </w:lvl>
    <w:lvl w:ilvl="4" w:tentative="0">
      <w:start w:val="1"/>
      <w:numFmt w:val="decimal"/>
      <w:suff w:val="space"/>
      <w:lvlText w:val="%5．"/>
      <w:lvlJc w:val="left"/>
      <w:pPr>
        <w:ind w:left="0" w:firstLine="454"/>
      </w:pPr>
      <w:rPr>
        <w:rFonts w:hint="eastAsia"/>
        <w:color w:val="auto"/>
      </w:rPr>
    </w:lvl>
    <w:lvl w:ilvl="5" w:tentative="0">
      <w:start w:val="1"/>
      <w:numFmt w:val="decimal"/>
      <w:suff w:val="space"/>
      <w:lvlText w:val="（%6）"/>
      <w:lvlJc w:val="left"/>
      <w:pPr>
        <w:ind w:left="0" w:firstLine="340"/>
      </w:pPr>
      <w:rPr>
        <w:rFonts w:hint="eastAsia"/>
        <w:color w:val="auto"/>
      </w:rPr>
    </w:lvl>
    <w:lvl w:ilvl="6" w:tentative="0">
      <w:start w:val="1"/>
      <w:numFmt w:val="decimalEnclosedCircle"/>
      <w:suff w:val="space"/>
      <w:lvlText w:val="%7 "/>
      <w:lvlJc w:val="left"/>
      <w:pPr>
        <w:ind w:left="0" w:firstLine="454"/>
      </w:pPr>
      <w:rPr>
        <w:rFonts w:hint="eastAsia"/>
        <w:color w:val="auto"/>
      </w:rPr>
    </w:lvl>
    <w:lvl w:ilvl="7" w:tentative="0">
      <w:start w:val="1"/>
      <w:numFmt w:val="decimal"/>
      <w:suff w:val="space"/>
      <w:lvlText w:val="%8）"/>
      <w:lvlJc w:val="left"/>
      <w:pPr>
        <w:ind w:left="0" w:firstLine="454"/>
      </w:pPr>
      <w:rPr>
        <w:rFonts w:hint="eastAsia"/>
        <w:color w:val="auto"/>
      </w:rPr>
    </w:lvl>
    <w:lvl w:ilvl="8" w:tentative="0">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360"/>
  <w:evenAndOddHeaders w:val="1"/>
  <w:drawingGridHorizontalSpacing w:val="308"/>
  <w:drawingGridVerticalSpacing w:val="295"/>
  <w:displayHorizontalDrawingGridEvery w:val="1"/>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FFFFC041"/>
    <w:rsid w:val="006A0FEA"/>
    <w:rsid w:val="0082733A"/>
    <w:rsid w:val="04B0246E"/>
    <w:rsid w:val="04E0470D"/>
    <w:rsid w:val="05556C9B"/>
    <w:rsid w:val="065E0402"/>
    <w:rsid w:val="06D40C09"/>
    <w:rsid w:val="07510C8F"/>
    <w:rsid w:val="08C82627"/>
    <w:rsid w:val="0A7515C7"/>
    <w:rsid w:val="0B6321D6"/>
    <w:rsid w:val="0C0B2D5C"/>
    <w:rsid w:val="0C28596B"/>
    <w:rsid w:val="0C337638"/>
    <w:rsid w:val="0C624F17"/>
    <w:rsid w:val="0DC17C9E"/>
    <w:rsid w:val="0F051AC8"/>
    <w:rsid w:val="0F1E59DC"/>
    <w:rsid w:val="0F9F79E5"/>
    <w:rsid w:val="10090EB2"/>
    <w:rsid w:val="10DA2D47"/>
    <w:rsid w:val="11AA2CD9"/>
    <w:rsid w:val="134D6FF3"/>
    <w:rsid w:val="166770DF"/>
    <w:rsid w:val="17424F9E"/>
    <w:rsid w:val="18FC210A"/>
    <w:rsid w:val="1AFD2B54"/>
    <w:rsid w:val="1B486B8B"/>
    <w:rsid w:val="1C2107EB"/>
    <w:rsid w:val="1E7E2B16"/>
    <w:rsid w:val="22E070C6"/>
    <w:rsid w:val="23E948EA"/>
    <w:rsid w:val="253B4E3C"/>
    <w:rsid w:val="25BB0C45"/>
    <w:rsid w:val="25BD0EF9"/>
    <w:rsid w:val="25EB5B45"/>
    <w:rsid w:val="268B284C"/>
    <w:rsid w:val="26F51A44"/>
    <w:rsid w:val="27AD5FBC"/>
    <w:rsid w:val="28BE707F"/>
    <w:rsid w:val="28F770C2"/>
    <w:rsid w:val="29CC039F"/>
    <w:rsid w:val="2A0321A1"/>
    <w:rsid w:val="2A8D1D2B"/>
    <w:rsid w:val="2D0C1AF6"/>
    <w:rsid w:val="2D5B73AE"/>
    <w:rsid w:val="2DBC0615"/>
    <w:rsid w:val="31557E7B"/>
    <w:rsid w:val="31E267E6"/>
    <w:rsid w:val="325F6603"/>
    <w:rsid w:val="32C93BCA"/>
    <w:rsid w:val="3398619A"/>
    <w:rsid w:val="33A22494"/>
    <w:rsid w:val="341F6A59"/>
    <w:rsid w:val="34B67588"/>
    <w:rsid w:val="34C50171"/>
    <w:rsid w:val="3661359A"/>
    <w:rsid w:val="3698771E"/>
    <w:rsid w:val="375B2675"/>
    <w:rsid w:val="386E78AD"/>
    <w:rsid w:val="391F0440"/>
    <w:rsid w:val="3C3D46E8"/>
    <w:rsid w:val="3C543787"/>
    <w:rsid w:val="3C5E520F"/>
    <w:rsid w:val="3DD209D6"/>
    <w:rsid w:val="3E1B0B74"/>
    <w:rsid w:val="3EAC0A0B"/>
    <w:rsid w:val="3EBF1E35"/>
    <w:rsid w:val="3EFACC5A"/>
    <w:rsid w:val="3FADA1F8"/>
    <w:rsid w:val="3FD93DCD"/>
    <w:rsid w:val="3FF75107"/>
    <w:rsid w:val="412E4C7F"/>
    <w:rsid w:val="416076DC"/>
    <w:rsid w:val="43A8628C"/>
    <w:rsid w:val="445709AF"/>
    <w:rsid w:val="449E50E2"/>
    <w:rsid w:val="44D14E73"/>
    <w:rsid w:val="452D770D"/>
    <w:rsid w:val="45B71977"/>
    <w:rsid w:val="46A2612B"/>
    <w:rsid w:val="47307DD7"/>
    <w:rsid w:val="47D04DD3"/>
    <w:rsid w:val="487D16AC"/>
    <w:rsid w:val="48ED7BD1"/>
    <w:rsid w:val="49287F12"/>
    <w:rsid w:val="499524F4"/>
    <w:rsid w:val="49D15369"/>
    <w:rsid w:val="4BEB429E"/>
    <w:rsid w:val="4C3B600E"/>
    <w:rsid w:val="4CD447B5"/>
    <w:rsid w:val="4E373307"/>
    <w:rsid w:val="4EEB63AD"/>
    <w:rsid w:val="4FD8612C"/>
    <w:rsid w:val="4FF53AE6"/>
    <w:rsid w:val="50892FF4"/>
    <w:rsid w:val="50EF74D3"/>
    <w:rsid w:val="51704512"/>
    <w:rsid w:val="52654633"/>
    <w:rsid w:val="52BE7AEA"/>
    <w:rsid w:val="52C10BFB"/>
    <w:rsid w:val="54712998"/>
    <w:rsid w:val="556A77E9"/>
    <w:rsid w:val="58CB6A3A"/>
    <w:rsid w:val="596D709C"/>
    <w:rsid w:val="59911572"/>
    <w:rsid w:val="59AB7E87"/>
    <w:rsid w:val="5A036B9F"/>
    <w:rsid w:val="5A930561"/>
    <w:rsid w:val="5C3A545D"/>
    <w:rsid w:val="5CFE6BBD"/>
    <w:rsid w:val="5D432A17"/>
    <w:rsid w:val="5D5F6B9A"/>
    <w:rsid w:val="5F6C1307"/>
    <w:rsid w:val="6346773F"/>
    <w:rsid w:val="637D5ACA"/>
    <w:rsid w:val="656C64A8"/>
    <w:rsid w:val="665541AD"/>
    <w:rsid w:val="676E37C1"/>
    <w:rsid w:val="67D15A64"/>
    <w:rsid w:val="681D3EE5"/>
    <w:rsid w:val="681F23D0"/>
    <w:rsid w:val="686752E2"/>
    <w:rsid w:val="687605C0"/>
    <w:rsid w:val="6A0769C5"/>
    <w:rsid w:val="6B146ABA"/>
    <w:rsid w:val="6B902A58"/>
    <w:rsid w:val="6BED679D"/>
    <w:rsid w:val="6C4C58BD"/>
    <w:rsid w:val="6D05506C"/>
    <w:rsid w:val="6D674069"/>
    <w:rsid w:val="6DFE7595"/>
    <w:rsid w:val="6EDF3990"/>
    <w:rsid w:val="6F7F4AD5"/>
    <w:rsid w:val="6FB6184B"/>
    <w:rsid w:val="71C21AFA"/>
    <w:rsid w:val="72AE1C3D"/>
    <w:rsid w:val="72B2510C"/>
    <w:rsid w:val="73A7D91A"/>
    <w:rsid w:val="73CD76E7"/>
    <w:rsid w:val="74BF7515"/>
    <w:rsid w:val="74D643FB"/>
    <w:rsid w:val="766772D7"/>
    <w:rsid w:val="7701204E"/>
    <w:rsid w:val="78BE1FA4"/>
    <w:rsid w:val="7AFE23E6"/>
    <w:rsid w:val="7B835FAF"/>
    <w:rsid w:val="7BBC560F"/>
    <w:rsid w:val="7CD136D3"/>
    <w:rsid w:val="7DEA6973"/>
    <w:rsid w:val="7DFE66C3"/>
    <w:rsid w:val="7ECA128F"/>
    <w:rsid w:val="7F3FCA31"/>
    <w:rsid w:val="7F6FC608"/>
    <w:rsid w:val="7FBADC63"/>
    <w:rsid w:val="7FDE1157"/>
    <w:rsid w:val="9EEFB4A4"/>
    <w:rsid w:val="ADDF9A4A"/>
    <w:rsid w:val="B7F7FCE8"/>
    <w:rsid w:val="BFFB640D"/>
    <w:rsid w:val="CCA7F14F"/>
    <w:rsid w:val="DA9A9025"/>
    <w:rsid w:val="DDED877D"/>
    <w:rsid w:val="DFD7BD57"/>
    <w:rsid w:val="DFF964E7"/>
    <w:rsid w:val="E7EDFD4D"/>
    <w:rsid w:val="EBFF7EC3"/>
    <w:rsid w:val="EFFCBC21"/>
    <w:rsid w:val="F0D95929"/>
    <w:rsid w:val="F38DBED6"/>
    <w:rsid w:val="F57FCFF3"/>
    <w:rsid w:val="F5F7F6C5"/>
    <w:rsid w:val="F83D5247"/>
    <w:rsid w:val="FAFE01E4"/>
    <w:rsid w:val="FDFADDE6"/>
    <w:rsid w:val="FFF39401"/>
    <w:rsid w:val="FFFF6FFC"/>
    <w:rsid w:val="FFFFC04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eastAsia="仿宋_GB2312"/>
      <w:spacing w:val="-6"/>
      <w:kern w:val="2"/>
      <w:sz w:val="32"/>
      <w:lang w:val="en-US" w:eastAsia="zh-CN" w:bidi="ar-SA"/>
    </w:rPr>
  </w:style>
  <w:style w:type="character" w:default="1" w:styleId="8">
    <w:name w:val="Default Paragraph Font"/>
    <w:uiPriority w:val="0"/>
  </w:style>
  <w:style w:type="table" w:default="1" w:styleId="7">
    <w:name w:val="Normal Table"/>
    <w:unhideWhenUsed/>
    <w:uiPriority w:val="99"/>
    <w:tblPr>
      <w:tblStyle w:val="7"/>
      <w:tblCellMar>
        <w:top w:w="0" w:type="dxa"/>
        <w:left w:w="108" w:type="dxa"/>
        <w:bottom w:w="0" w:type="dxa"/>
        <w:right w:w="108" w:type="dxa"/>
      </w:tblCellMar>
    </w:tblPr>
  </w:style>
  <w:style w:type="paragraph" w:styleId="2">
    <w:name w:val="Balloon Text"/>
    <w:basedOn w:val="1"/>
    <w:next w:val="3"/>
    <w:unhideWhenUsed/>
    <w:qFormat/>
    <w:uiPriority w:val="99"/>
    <w:rPr>
      <w:sz w:val="18"/>
      <w:szCs w:val="18"/>
    </w:rPr>
  </w:style>
  <w:style w:type="paragraph" w:customStyle="1" w:styleId="3">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6">
    <w:name w:val="header"/>
    <w:basedOn w:val="1"/>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character" w:styleId="9">
    <w:name w:val="page number"/>
    <w:basedOn w:val="8"/>
    <w:uiPriority w:val="0"/>
  </w:style>
  <w:style w:type="character" w:styleId="10">
    <w:name w:val="line number"/>
    <w:basedOn w:val="8"/>
    <w:uiPriority w:val="0"/>
  </w:style>
  <w:style w:type="paragraph" w:customStyle="1" w:styleId="11">
    <w:name w:val="居中"/>
    <w:basedOn w:val="1"/>
    <w:uiPriority w:val="0"/>
    <w:pPr>
      <w:numPr>
        <w:ilvl w:val="0"/>
        <w:numId w:val="1"/>
      </w:numPr>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pt\kingsoft\wps-office\office6\mui\zh_CN\templates\wps\GB9704%20electronic%20document%20templates\approval%20of%20a%20single%20chapter%20iss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approval of a single chapter issued (downlink short signature).wpt</Template>
  <Pages>4</Pages>
  <Words>987</Words>
  <Characters>987</Characters>
  <Lines>8</Lines>
  <Paragraphs>2</Paragraphs>
  <TotalTime>13.6666666666667</TotalTime>
  <ScaleCrop>false</ScaleCrop>
  <LinksUpToDate>false</LinksUpToDate>
  <CharactersWithSpaces>987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2019-03-23T15:33:00Z</dcterms:created>
  <dc:creator>陈掠</dc:creator>
  <cp:lastModifiedBy>郑文静</cp:lastModifiedBy>
  <cp:lastPrinted>2019-03-24T12:44:41Z</cp:lastPrinted>
  <dcterms:modified xsi:type="dcterms:W3CDTF">2026-07-15T07:16:46Z</dcterms:modified>
  <dc:title>No:0000001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公文模板版本">
    <vt:lpwstr>20171116</vt:lpwstr>
  </property>
  <property fmtid="{D5CDD505-2E9C-101B-9397-08002B2CF9AE}" pid="4" name="ICV">
    <vt:lpwstr>5821F079BB5C4B65973AE1FCDF250D1E_13</vt:lpwstr>
  </property>
</Properties>
</file>