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AECCD" w14:textId="77777777" w:rsidR="00D72B70" w:rsidRDefault="00000000">
      <w:pPr>
        <w:jc w:val="center"/>
        <w:rPr>
          <w:rFonts w:ascii="黑体" w:eastAsia="黑体" w:hAnsi="黑体"/>
          <w:bCs/>
          <w:sz w:val="36"/>
          <w:szCs w:val="36"/>
        </w:rPr>
      </w:pPr>
      <w:r>
        <w:rPr>
          <w:rFonts w:ascii="黑体" w:eastAsia="黑体" w:hAnsi="黑体" w:hint="eastAsia"/>
          <w:bCs/>
          <w:sz w:val="36"/>
          <w:szCs w:val="36"/>
        </w:rPr>
        <w:t>横屿山L-04出让地块</w:t>
      </w:r>
    </w:p>
    <w:p w14:paraId="58CB2E04" w14:textId="77777777" w:rsidR="00D72B70" w:rsidRDefault="00000000">
      <w:pPr>
        <w:jc w:val="center"/>
        <w:rPr>
          <w:rFonts w:ascii="黑体" w:eastAsia="黑体" w:hAnsi="黑体"/>
          <w:bCs/>
          <w:color w:val="FF0000"/>
          <w:sz w:val="36"/>
          <w:szCs w:val="36"/>
        </w:rPr>
      </w:pPr>
      <w:r>
        <w:rPr>
          <w:rFonts w:ascii="黑体" w:eastAsia="黑体" w:hAnsi="黑体" w:hint="eastAsia"/>
          <w:bCs/>
          <w:sz w:val="36"/>
          <w:szCs w:val="36"/>
        </w:rPr>
        <w:t>装配式建筑设计阶段预评价专家评审意见</w:t>
      </w:r>
    </w:p>
    <w:p w14:paraId="05B13C7A" w14:textId="77777777" w:rsidR="00D72B70" w:rsidRDefault="00D72B70"/>
    <w:p w14:paraId="7B69D2CF" w14:textId="6C16C1B0" w:rsidR="00D72B70" w:rsidRDefault="00000000">
      <w:pPr>
        <w:snapToGrid w:val="0"/>
        <w:spacing w:line="440" w:lineRule="exact"/>
        <w:ind w:firstLineChars="200" w:firstLine="560"/>
        <w:rPr>
          <w:rFonts w:ascii="仿宋_GB2312" w:eastAsia="仿宋_GB2312" w:hAnsi="宋体"/>
          <w:bCs/>
          <w:sz w:val="28"/>
          <w:szCs w:val="28"/>
        </w:rPr>
      </w:pPr>
      <w:r>
        <w:rPr>
          <w:rFonts w:ascii="仿宋_GB2312" w:eastAsia="仿宋_GB2312" w:hAnsi="宋体" w:hint="eastAsia"/>
          <w:bCs/>
          <w:sz w:val="28"/>
          <w:szCs w:val="28"/>
        </w:rPr>
        <w:t>2023年12月20日，在福州市召开横屿山L-04出让地块装配式建筑设计阶段预评价专家评审会，评审专家</w:t>
      </w:r>
      <w:r w:rsidR="00BD6468">
        <w:rPr>
          <w:rFonts w:ascii="仿宋_GB2312" w:eastAsia="仿宋_GB2312" w:hAnsi="宋体" w:hint="eastAsia"/>
          <w:bCs/>
          <w:sz w:val="28"/>
          <w:szCs w:val="28"/>
        </w:rPr>
        <w:t>、</w:t>
      </w:r>
      <w:r>
        <w:rPr>
          <w:rFonts w:ascii="仿宋_GB2312" w:eastAsia="仿宋_GB2312" w:hAnsi="宋体" w:hint="eastAsia"/>
          <w:bCs/>
          <w:sz w:val="28"/>
          <w:szCs w:val="28"/>
        </w:rPr>
        <w:t>福州眼科医院有限公司、厦门卓毅建筑工程有限公司</w:t>
      </w:r>
      <w:r w:rsidR="00BD6468">
        <w:rPr>
          <w:rFonts w:ascii="仿宋_GB2312" w:eastAsia="仿宋_GB2312" w:hAnsi="宋体" w:hint="eastAsia"/>
          <w:bCs/>
          <w:sz w:val="28"/>
          <w:szCs w:val="28"/>
        </w:rPr>
        <w:t>和</w:t>
      </w:r>
      <w:r>
        <w:rPr>
          <w:rFonts w:ascii="仿宋_GB2312" w:eastAsia="仿宋_GB2312" w:hAnsi="宋体" w:hint="eastAsia"/>
          <w:bCs/>
          <w:sz w:val="28"/>
          <w:szCs w:val="28"/>
        </w:rPr>
        <w:t>福州市规划设计研究院集团有限公司等相关人员参加了会议。</w:t>
      </w:r>
    </w:p>
    <w:p w14:paraId="25C93BC6" w14:textId="5B43E5A2" w:rsidR="00D72B70" w:rsidRDefault="00000000">
      <w:pPr>
        <w:spacing w:line="440" w:lineRule="exact"/>
        <w:ind w:firstLineChars="200" w:firstLine="560"/>
      </w:pPr>
      <w:r>
        <w:rPr>
          <w:rFonts w:ascii="仿宋_GB2312" w:eastAsia="仿宋_GB2312" w:hAnsi="宋体" w:hint="eastAsia"/>
          <w:bCs/>
          <w:sz w:val="28"/>
          <w:szCs w:val="28"/>
        </w:rPr>
        <w:t>该工程简况如下：工程位于福州市晋安区前横北路以东，化工路以北，横屿山东南侧。拟建门诊住院综合楼、门卫收发室等建筑，总计容建筑面积为15196.43m</w:t>
      </w:r>
      <w:r>
        <w:rPr>
          <w:rFonts w:ascii="仿宋_GB2312" w:eastAsia="仿宋_GB2312" w:hAnsi="宋体" w:hint="eastAsia"/>
          <w:bCs/>
          <w:sz w:val="28"/>
          <w:szCs w:val="28"/>
          <w:vertAlign w:val="superscript"/>
        </w:rPr>
        <w:t>2</w:t>
      </w:r>
      <w:r>
        <w:rPr>
          <w:rFonts w:ascii="仿宋_GB2312" w:eastAsia="仿宋_GB2312" w:hAnsi="宋体" w:hint="eastAsia"/>
          <w:bCs/>
          <w:sz w:val="28"/>
          <w:szCs w:val="28"/>
        </w:rPr>
        <w:t>。其中门诊住院综合楼采用装配式建造，装配式建造的计容建筑面积为15150.50m</w:t>
      </w:r>
      <w:r>
        <w:rPr>
          <w:rFonts w:ascii="仿宋_GB2312" w:eastAsia="仿宋_GB2312" w:hAnsi="宋体" w:hint="eastAsia"/>
          <w:bCs/>
          <w:sz w:val="28"/>
          <w:szCs w:val="28"/>
          <w:vertAlign w:val="superscript"/>
        </w:rPr>
        <w:t>2</w:t>
      </w:r>
      <w:r>
        <w:rPr>
          <w:rFonts w:ascii="仿宋_GB2312" w:eastAsia="仿宋_GB2312" w:hAnsi="宋体" w:hint="eastAsia"/>
          <w:bCs/>
          <w:sz w:val="28"/>
          <w:szCs w:val="28"/>
        </w:rPr>
        <w:t>，占地上建筑面积的比例为 15150.50/15196.43=99.7%</w:t>
      </w:r>
      <w:r w:rsidR="00BD6468">
        <w:rPr>
          <w:rFonts w:ascii="仿宋_GB2312" w:eastAsia="仿宋_GB2312" w:hAnsi="宋体" w:hint="eastAsia"/>
          <w:bCs/>
          <w:sz w:val="28"/>
          <w:szCs w:val="28"/>
        </w:rPr>
        <w:t>。</w:t>
      </w:r>
    </w:p>
    <w:p w14:paraId="3406D60D" w14:textId="54401E6C" w:rsidR="00D72B70" w:rsidRDefault="00000000">
      <w:pPr>
        <w:spacing w:line="560" w:lineRule="exact"/>
        <w:ind w:firstLineChars="200" w:firstLine="560"/>
        <w:rPr>
          <w:rFonts w:ascii="仿宋_GB2312" w:eastAsia="仿宋_GB2312" w:hAnsi="宋体"/>
          <w:bCs/>
          <w:sz w:val="28"/>
          <w:szCs w:val="28"/>
        </w:rPr>
      </w:pPr>
      <w:r>
        <w:rPr>
          <w:rFonts w:ascii="仿宋_GB2312" w:eastAsia="仿宋_GB2312" w:hAnsi="宋体" w:hint="eastAsia"/>
          <w:bCs/>
          <w:sz w:val="28"/>
          <w:szCs w:val="28"/>
        </w:rPr>
        <w:t>建筑预制装配内容及装配率详下表</w:t>
      </w:r>
    </w:p>
    <w:tbl>
      <w:tblPr>
        <w:tblW w:w="6242" w:type="dxa"/>
        <w:jc w:val="center"/>
        <w:tblLayout w:type="fixed"/>
        <w:tblCellMar>
          <w:left w:w="0" w:type="dxa"/>
          <w:right w:w="0" w:type="dxa"/>
        </w:tblCellMar>
        <w:tblLook w:val="04A0" w:firstRow="1" w:lastRow="0" w:firstColumn="1" w:lastColumn="0" w:noHBand="0" w:noVBand="1"/>
      </w:tblPr>
      <w:tblGrid>
        <w:gridCol w:w="1412"/>
        <w:gridCol w:w="2715"/>
        <w:gridCol w:w="2115"/>
      </w:tblGrid>
      <w:tr w:rsidR="00D72B70" w14:paraId="3C04793E" w14:textId="77777777">
        <w:trPr>
          <w:trHeight w:val="429"/>
          <w:jc w:val="center"/>
        </w:trPr>
        <w:tc>
          <w:tcPr>
            <w:tcW w:w="1412" w:type="dxa"/>
            <w:tcBorders>
              <w:top w:val="single" w:sz="4" w:space="0" w:color="auto"/>
              <w:left w:val="single" w:sz="4" w:space="0" w:color="auto"/>
              <w:bottom w:val="single" w:sz="4" w:space="0" w:color="auto"/>
              <w:right w:val="single" w:sz="4" w:space="0" w:color="auto"/>
            </w:tcBorders>
            <w:vAlign w:val="center"/>
          </w:tcPr>
          <w:p w14:paraId="054E7044" w14:textId="77777777" w:rsidR="00D72B70" w:rsidRDefault="00D72B70">
            <w:pPr>
              <w:adjustRightInd w:val="0"/>
              <w:snapToGrid w:val="0"/>
              <w:spacing w:line="240" w:lineRule="atLeast"/>
              <w:rPr>
                <w:rFonts w:ascii="仿宋" w:eastAsia="仿宋" w:hAnsi="仿宋" w:cs="仿宋"/>
                <w:bCs/>
                <w:sz w:val="24"/>
              </w:rPr>
            </w:pPr>
          </w:p>
        </w:tc>
        <w:tc>
          <w:tcPr>
            <w:tcW w:w="2715"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2D359561" w14:textId="77777777" w:rsidR="00D72B70" w:rsidRDefault="00000000">
            <w:pPr>
              <w:adjustRightInd w:val="0"/>
              <w:snapToGrid w:val="0"/>
              <w:spacing w:line="240" w:lineRule="atLeast"/>
              <w:jc w:val="center"/>
              <w:rPr>
                <w:rFonts w:ascii="仿宋" w:eastAsia="仿宋" w:hAnsi="仿宋" w:cs="仿宋"/>
                <w:bCs/>
                <w:sz w:val="24"/>
              </w:rPr>
            </w:pPr>
            <w:r>
              <w:rPr>
                <w:rFonts w:ascii="仿宋" w:eastAsia="仿宋" w:hAnsi="仿宋" w:cs="仿宋" w:hint="eastAsia"/>
                <w:bCs/>
                <w:sz w:val="24"/>
              </w:rPr>
              <w:t>评价项</w:t>
            </w:r>
          </w:p>
        </w:tc>
        <w:tc>
          <w:tcPr>
            <w:tcW w:w="2115"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7BB0784F" w14:textId="77777777" w:rsidR="00D72B70" w:rsidRDefault="00000000">
            <w:pPr>
              <w:widowControl/>
              <w:adjustRightInd w:val="0"/>
              <w:snapToGrid w:val="0"/>
              <w:spacing w:line="240" w:lineRule="atLeast"/>
              <w:jc w:val="center"/>
              <w:textAlignment w:val="center"/>
              <w:rPr>
                <w:rFonts w:ascii="仿宋" w:eastAsia="仿宋" w:hAnsi="仿宋" w:cs="仿宋"/>
                <w:bCs/>
                <w:sz w:val="24"/>
              </w:rPr>
            </w:pPr>
            <w:r>
              <w:rPr>
                <w:rFonts w:ascii="仿宋" w:eastAsia="仿宋" w:hAnsi="仿宋" w:cs="仿宋" w:hint="eastAsia"/>
                <w:kern w:val="0"/>
                <w:sz w:val="24"/>
                <w:lang w:bidi="ar"/>
              </w:rPr>
              <w:t>门诊住院综合楼</w:t>
            </w:r>
          </w:p>
        </w:tc>
      </w:tr>
      <w:tr w:rsidR="00D72B70" w14:paraId="76F2337C" w14:textId="77777777">
        <w:trPr>
          <w:trHeight w:val="85"/>
          <w:jc w:val="center"/>
        </w:trPr>
        <w:tc>
          <w:tcPr>
            <w:tcW w:w="1412" w:type="dxa"/>
            <w:vMerge w:val="restart"/>
            <w:tcBorders>
              <w:top w:val="single" w:sz="4" w:space="0" w:color="auto"/>
              <w:left w:val="single" w:sz="4" w:space="0" w:color="auto"/>
              <w:right w:val="single" w:sz="4" w:space="0" w:color="auto"/>
            </w:tcBorders>
            <w:vAlign w:val="center"/>
          </w:tcPr>
          <w:p w14:paraId="12AC13D2" w14:textId="77777777" w:rsidR="00D72B70" w:rsidRDefault="00000000">
            <w:pPr>
              <w:adjustRightInd w:val="0"/>
              <w:snapToGrid w:val="0"/>
              <w:spacing w:line="240" w:lineRule="atLeast"/>
              <w:jc w:val="center"/>
              <w:rPr>
                <w:rFonts w:ascii="仿宋" w:eastAsia="仿宋" w:hAnsi="仿宋" w:cs="仿宋"/>
                <w:bCs/>
                <w:sz w:val="24"/>
              </w:rPr>
            </w:pPr>
            <w:r>
              <w:rPr>
                <w:rFonts w:ascii="仿宋" w:eastAsia="仿宋" w:hAnsi="仿宋" w:cs="仿宋" w:hint="eastAsia"/>
                <w:bCs/>
                <w:sz w:val="24"/>
              </w:rPr>
              <w:t>主体结构</w:t>
            </w:r>
          </w:p>
        </w:tc>
        <w:tc>
          <w:tcPr>
            <w:tcW w:w="2715"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6E812006" w14:textId="2B4C91DF" w:rsidR="00D72B70" w:rsidRDefault="00000000">
            <w:pPr>
              <w:adjustRightInd w:val="0"/>
              <w:snapToGrid w:val="0"/>
              <w:spacing w:line="240" w:lineRule="atLeast"/>
              <w:jc w:val="center"/>
              <w:rPr>
                <w:rFonts w:ascii="仿宋" w:eastAsia="仿宋" w:hAnsi="仿宋" w:cs="仿宋"/>
                <w:bCs/>
                <w:sz w:val="24"/>
              </w:rPr>
            </w:pPr>
            <w:r>
              <w:rPr>
                <w:rFonts w:ascii="仿宋" w:eastAsia="仿宋" w:hAnsi="仿宋" w:cs="仿宋" w:hint="eastAsia"/>
                <w:szCs w:val="21"/>
              </w:rPr>
              <w:t>预制叠合板</w:t>
            </w:r>
            <w:r w:rsidR="00085CA5">
              <w:rPr>
                <w:rFonts w:ascii="仿宋" w:eastAsia="仿宋" w:hAnsi="仿宋" w:cs="仿宋" w:hint="eastAsia"/>
                <w:szCs w:val="21"/>
              </w:rPr>
              <w:t>、钢筋桁架楼承板、钢梁</w:t>
            </w:r>
          </w:p>
        </w:tc>
        <w:tc>
          <w:tcPr>
            <w:tcW w:w="2115"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6AB683FB" w14:textId="77777777" w:rsidR="00D72B70" w:rsidRDefault="00000000">
            <w:pPr>
              <w:widowControl/>
              <w:adjustRightInd w:val="0"/>
              <w:snapToGrid w:val="0"/>
              <w:spacing w:line="240" w:lineRule="atLeast"/>
              <w:jc w:val="center"/>
              <w:textAlignment w:val="center"/>
              <w:rPr>
                <w:rFonts w:ascii="仿宋" w:eastAsia="仿宋" w:hAnsi="仿宋" w:cs="仿宋"/>
                <w:bCs/>
                <w:sz w:val="24"/>
              </w:rPr>
            </w:pPr>
            <w:r>
              <w:rPr>
                <w:rFonts w:ascii="仿宋" w:eastAsia="仿宋" w:hAnsi="仿宋" w:cs="仿宋" w:hint="eastAsia"/>
                <w:kern w:val="0"/>
                <w:sz w:val="24"/>
                <w:lang w:bidi="ar"/>
              </w:rPr>
              <w:t>28.4</w:t>
            </w:r>
          </w:p>
        </w:tc>
      </w:tr>
      <w:tr w:rsidR="00D72B70" w14:paraId="4207A3E0" w14:textId="77777777">
        <w:trPr>
          <w:trHeight w:val="85"/>
          <w:jc w:val="center"/>
        </w:trPr>
        <w:tc>
          <w:tcPr>
            <w:tcW w:w="1412" w:type="dxa"/>
            <w:vMerge/>
            <w:tcBorders>
              <w:left w:val="single" w:sz="4" w:space="0" w:color="auto"/>
              <w:right w:val="single" w:sz="4" w:space="0" w:color="auto"/>
            </w:tcBorders>
            <w:vAlign w:val="center"/>
          </w:tcPr>
          <w:p w14:paraId="44AE0D30" w14:textId="77777777" w:rsidR="00D72B70" w:rsidRDefault="00D72B70">
            <w:pPr>
              <w:adjustRightInd w:val="0"/>
              <w:snapToGrid w:val="0"/>
              <w:spacing w:line="240" w:lineRule="atLeast"/>
              <w:jc w:val="center"/>
              <w:rPr>
                <w:rFonts w:ascii="仿宋" w:eastAsia="仿宋" w:hAnsi="仿宋" w:cs="仿宋"/>
                <w:bCs/>
                <w:sz w:val="24"/>
              </w:rPr>
            </w:pPr>
          </w:p>
        </w:tc>
        <w:tc>
          <w:tcPr>
            <w:tcW w:w="2715"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643CCF10" w14:textId="77777777" w:rsidR="00D72B70" w:rsidRDefault="00000000">
            <w:pPr>
              <w:adjustRightInd w:val="0"/>
              <w:snapToGrid w:val="0"/>
              <w:spacing w:line="240" w:lineRule="atLeast"/>
              <w:jc w:val="center"/>
              <w:rPr>
                <w:rFonts w:ascii="仿宋" w:eastAsia="仿宋" w:hAnsi="仿宋" w:cs="仿宋"/>
                <w:bCs/>
                <w:sz w:val="24"/>
              </w:rPr>
            </w:pPr>
            <w:r>
              <w:rPr>
                <w:rFonts w:ascii="仿宋" w:eastAsia="仿宋" w:hAnsi="仿宋" w:cs="仿宋" w:hint="eastAsia"/>
                <w:bCs/>
                <w:sz w:val="24"/>
              </w:rPr>
              <w:t>设计标准化、模数化</w:t>
            </w:r>
          </w:p>
        </w:tc>
        <w:tc>
          <w:tcPr>
            <w:tcW w:w="2115"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0BE096D8" w14:textId="77777777" w:rsidR="00D72B70" w:rsidRDefault="00000000">
            <w:pPr>
              <w:widowControl/>
              <w:adjustRightInd w:val="0"/>
              <w:snapToGrid w:val="0"/>
              <w:spacing w:line="240" w:lineRule="atLeast"/>
              <w:jc w:val="center"/>
              <w:textAlignment w:val="center"/>
              <w:rPr>
                <w:rFonts w:ascii="仿宋" w:eastAsia="仿宋" w:hAnsi="仿宋" w:cs="仿宋"/>
                <w:kern w:val="0"/>
                <w:sz w:val="24"/>
                <w:lang w:bidi="ar"/>
              </w:rPr>
            </w:pPr>
            <w:r>
              <w:rPr>
                <w:rFonts w:ascii="仿宋" w:eastAsia="仿宋" w:hAnsi="仿宋" w:cs="仿宋" w:hint="eastAsia"/>
                <w:kern w:val="0"/>
                <w:sz w:val="24"/>
                <w:lang w:bidi="ar"/>
              </w:rPr>
              <w:t>0</w:t>
            </w:r>
          </w:p>
        </w:tc>
      </w:tr>
      <w:tr w:rsidR="00D72B70" w14:paraId="1DCAF993" w14:textId="77777777">
        <w:trPr>
          <w:trHeight w:val="85"/>
          <w:jc w:val="center"/>
        </w:trPr>
        <w:tc>
          <w:tcPr>
            <w:tcW w:w="1412" w:type="dxa"/>
            <w:vMerge/>
            <w:tcBorders>
              <w:left w:val="single" w:sz="4" w:space="0" w:color="auto"/>
              <w:bottom w:val="single" w:sz="4" w:space="0" w:color="auto"/>
              <w:right w:val="single" w:sz="4" w:space="0" w:color="auto"/>
            </w:tcBorders>
            <w:vAlign w:val="center"/>
          </w:tcPr>
          <w:p w14:paraId="3A26A630" w14:textId="77777777" w:rsidR="00D72B70" w:rsidRDefault="00D72B70">
            <w:pPr>
              <w:adjustRightInd w:val="0"/>
              <w:snapToGrid w:val="0"/>
              <w:spacing w:line="240" w:lineRule="atLeast"/>
              <w:jc w:val="center"/>
              <w:rPr>
                <w:rFonts w:ascii="仿宋" w:eastAsia="仿宋" w:hAnsi="仿宋" w:cs="仿宋"/>
                <w:bCs/>
                <w:sz w:val="24"/>
              </w:rPr>
            </w:pPr>
          </w:p>
        </w:tc>
        <w:tc>
          <w:tcPr>
            <w:tcW w:w="2715"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77C242CC" w14:textId="77777777" w:rsidR="00D72B70" w:rsidRDefault="00000000">
            <w:pPr>
              <w:adjustRightInd w:val="0"/>
              <w:snapToGrid w:val="0"/>
              <w:spacing w:line="240" w:lineRule="atLeast"/>
              <w:jc w:val="center"/>
              <w:rPr>
                <w:rFonts w:ascii="仿宋" w:eastAsia="仿宋" w:hAnsi="仿宋" w:cs="仿宋"/>
                <w:bCs/>
                <w:sz w:val="24"/>
              </w:rPr>
            </w:pPr>
            <w:r>
              <w:rPr>
                <w:rFonts w:ascii="仿宋" w:eastAsia="仿宋" w:hAnsi="仿宋" w:cs="仿宋" w:hint="eastAsia"/>
                <w:bCs/>
                <w:sz w:val="24"/>
              </w:rPr>
              <w:t>部品部件通用化</w:t>
            </w:r>
          </w:p>
        </w:tc>
        <w:tc>
          <w:tcPr>
            <w:tcW w:w="2115"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72897143" w14:textId="77777777" w:rsidR="00D72B70" w:rsidRDefault="00000000">
            <w:pPr>
              <w:adjustRightInd w:val="0"/>
              <w:snapToGrid w:val="0"/>
              <w:spacing w:line="240" w:lineRule="atLeast"/>
              <w:jc w:val="center"/>
              <w:rPr>
                <w:rFonts w:ascii="仿宋" w:eastAsia="仿宋" w:hAnsi="仿宋" w:cs="仿宋"/>
                <w:bCs/>
                <w:sz w:val="24"/>
              </w:rPr>
            </w:pPr>
            <w:r>
              <w:rPr>
                <w:rFonts w:ascii="仿宋" w:eastAsia="仿宋" w:hAnsi="仿宋" w:cs="仿宋" w:hint="eastAsia"/>
                <w:bCs/>
                <w:sz w:val="24"/>
              </w:rPr>
              <w:t>2</w:t>
            </w:r>
          </w:p>
        </w:tc>
      </w:tr>
      <w:tr w:rsidR="00D72B70" w14:paraId="107740C9" w14:textId="77777777">
        <w:trPr>
          <w:trHeight w:val="85"/>
          <w:jc w:val="center"/>
        </w:trPr>
        <w:tc>
          <w:tcPr>
            <w:tcW w:w="1412" w:type="dxa"/>
            <w:vMerge w:val="restart"/>
            <w:tcBorders>
              <w:top w:val="single" w:sz="4" w:space="0" w:color="auto"/>
              <w:left w:val="single" w:sz="4" w:space="0" w:color="auto"/>
              <w:right w:val="single" w:sz="4" w:space="0" w:color="auto"/>
            </w:tcBorders>
            <w:vAlign w:val="center"/>
          </w:tcPr>
          <w:p w14:paraId="0ED534FA" w14:textId="77777777" w:rsidR="00D72B70" w:rsidRDefault="00000000">
            <w:pPr>
              <w:adjustRightInd w:val="0"/>
              <w:snapToGrid w:val="0"/>
              <w:spacing w:line="240" w:lineRule="atLeast"/>
              <w:jc w:val="center"/>
              <w:rPr>
                <w:rFonts w:ascii="仿宋" w:eastAsia="仿宋" w:hAnsi="仿宋" w:cs="仿宋"/>
                <w:bCs/>
                <w:sz w:val="24"/>
              </w:rPr>
            </w:pPr>
            <w:r>
              <w:rPr>
                <w:rFonts w:ascii="仿宋" w:eastAsia="仿宋" w:hAnsi="仿宋" w:cs="仿宋" w:hint="eastAsia"/>
                <w:bCs/>
                <w:sz w:val="24"/>
              </w:rPr>
              <w:t>围护墙和内隔墙</w:t>
            </w:r>
          </w:p>
        </w:tc>
        <w:tc>
          <w:tcPr>
            <w:tcW w:w="2715"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245E139E" w14:textId="77777777" w:rsidR="00D72B70" w:rsidRDefault="00000000">
            <w:pPr>
              <w:adjustRightInd w:val="0"/>
              <w:snapToGrid w:val="0"/>
              <w:spacing w:line="240" w:lineRule="atLeast"/>
              <w:jc w:val="center"/>
              <w:rPr>
                <w:rFonts w:ascii="仿宋" w:eastAsia="仿宋" w:hAnsi="仿宋" w:cs="仿宋"/>
                <w:bCs/>
                <w:sz w:val="24"/>
              </w:rPr>
            </w:pPr>
            <w:r>
              <w:rPr>
                <w:rFonts w:ascii="仿宋" w:eastAsia="仿宋" w:hAnsi="仿宋" w:cs="仿宋" w:hint="eastAsia"/>
                <w:sz w:val="24"/>
              </w:rPr>
              <w:t>非承重围护墙非砌筑（装配式围护墙）</w:t>
            </w:r>
          </w:p>
        </w:tc>
        <w:tc>
          <w:tcPr>
            <w:tcW w:w="2115"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48236219" w14:textId="0FFC5116" w:rsidR="00D72B70" w:rsidRDefault="000230F8">
            <w:pPr>
              <w:widowControl/>
              <w:adjustRightInd w:val="0"/>
              <w:snapToGrid w:val="0"/>
              <w:spacing w:line="240" w:lineRule="atLeast"/>
              <w:jc w:val="center"/>
              <w:textAlignment w:val="center"/>
              <w:rPr>
                <w:rFonts w:ascii="仿宋" w:eastAsia="仿宋" w:hAnsi="仿宋" w:cs="仿宋"/>
                <w:bCs/>
                <w:sz w:val="24"/>
              </w:rPr>
            </w:pPr>
            <w:r>
              <w:rPr>
                <w:rFonts w:ascii="仿宋" w:eastAsia="仿宋" w:hAnsi="仿宋" w:cs="仿宋"/>
                <w:kern w:val="0"/>
                <w:sz w:val="24"/>
                <w:lang w:bidi="ar"/>
              </w:rPr>
              <w:t>10</w:t>
            </w:r>
          </w:p>
        </w:tc>
      </w:tr>
      <w:tr w:rsidR="00D72B70" w14:paraId="44DD78A2" w14:textId="77777777">
        <w:trPr>
          <w:trHeight w:val="552"/>
          <w:jc w:val="center"/>
        </w:trPr>
        <w:tc>
          <w:tcPr>
            <w:tcW w:w="1412" w:type="dxa"/>
            <w:vMerge/>
            <w:tcBorders>
              <w:left w:val="single" w:sz="4" w:space="0" w:color="auto"/>
              <w:bottom w:val="single" w:sz="4" w:space="0" w:color="auto"/>
              <w:right w:val="single" w:sz="4" w:space="0" w:color="auto"/>
            </w:tcBorders>
            <w:vAlign w:val="center"/>
          </w:tcPr>
          <w:p w14:paraId="49FD217B" w14:textId="77777777" w:rsidR="00D72B70" w:rsidRDefault="00D72B70">
            <w:pPr>
              <w:adjustRightInd w:val="0"/>
              <w:snapToGrid w:val="0"/>
              <w:spacing w:line="240" w:lineRule="atLeast"/>
              <w:jc w:val="center"/>
              <w:rPr>
                <w:rFonts w:ascii="仿宋" w:eastAsia="仿宋" w:hAnsi="仿宋" w:cs="仿宋"/>
                <w:bCs/>
                <w:sz w:val="24"/>
              </w:rPr>
            </w:pPr>
          </w:p>
        </w:tc>
        <w:tc>
          <w:tcPr>
            <w:tcW w:w="2715"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0EFA49F2" w14:textId="77777777" w:rsidR="00D72B70" w:rsidRDefault="00000000">
            <w:pPr>
              <w:adjustRightInd w:val="0"/>
              <w:snapToGrid w:val="0"/>
              <w:spacing w:line="240" w:lineRule="atLeast"/>
              <w:jc w:val="center"/>
              <w:rPr>
                <w:rFonts w:ascii="仿宋" w:eastAsia="仿宋" w:hAnsi="仿宋" w:cs="仿宋"/>
                <w:bCs/>
                <w:sz w:val="24"/>
              </w:rPr>
            </w:pPr>
            <w:r>
              <w:rPr>
                <w:rFonts w:ascii="仿宋" w:eastAsia="仿宋" w:hAnsi="仿宋" w:cs="仿宋" w:hint="eastAsia"/>
                <w:bCs/>
                <w:sz w:val="24"/>
              </w:rPr>
              <w:t>内隔墙非砌筑（装配式内隔墙）</w:t>
            </w:r>
          </w:p>
        </w:tc>
        <w:tc>
          <w:tcPr>
            <w:tcW w:w="2115"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32F38FB9" w14:textId="57F8A5E3" w:rsidR="00D72B70" w:rsidRDefault="000230F8">
            <w:pPr>
              <w:widowControl/>
              <w:adjustRightInd w:val="0"/>
              <w:snapToGrid w:val="0"/>
              <w:spacing w:line="240" w:lineRule="atLeast"/>
              <w:jc w:val="center"/>
              <w:textAlignment w:val="center"/>
              <w:rPr>
                <w:rFonts w:ascii="仿宋" w:eastAsia="仿宋" w:hAnsi="仿宋" w:cs="仿宋"/>
                <w:kern w:val="0"/>
                <w:sz w:val="24"/>
                <w:lang w:bidi="ar"/>
              </w:rPr>
            </w:pPr>
            <w:r>
              <w:rPr>
                <w:rFonts w:ascii="仿宋" w:eastAsia="仿宋" w:hAnsi="仿宋" w:cs="仿宋"/>
                <w:kern w:val="0"/>
                <w:sz w:val="24"/>
                <w:lang w:bidi="ar"/>
              </w:rPr>
              <w:t>7.8</w:t>
            </w:r>
          </w:p>
        </w:tc>
      </w:tr>
      <w:tr w:rsidR="00D72B70" w14:paraId="3F2CBB30" w14:textId="77777777">
        <w:trPr>
          <w:trHeight w:val="584"/>
          <w:jc w:val="center"/>
        </w:trPr>
        <w:tc>
          <w:tcPr>
            <w:tcW w:w="1412" w:type="dxa"/>
            <w:tcBorders>
              <w:top w:val="single" w:sz="4" w:space="0" w:color="auto"/>
              <w:left w:val="single" w:sz="4" w:space="0" w:color="auto"/>
              <w:bottom w:val="single" w:sz="4" w:space="0" w:color="auto"/>
              <w:right w:val="single" w:sz="4" w:space="0" w:color="auto"/>
            </w:tcBorders>
            <w:vAlign w:val="center"/>
          </w:tcPr>
          <w:p w14:paraId="7F69C32D" w14:textId="77777777" w:rsidR="00D72B70" w:rsidRDefault="00000000">
            <w:pPr>
              <w:adjustRightInd w:val="0"/>
              <w:snapToGrid w:val="0"/>
              <w:spacing w:line="240" w:lineRule="atLeast"/>
              <w:jc w:val="center"/>
              <w:rPr>
                <w:rFonts w:ascii="仿宋" w:eastAsia="仿宋" w:hAnsi="仿宋" w:cs="仿宋"/>
                <w:bCs/>
                <w:sz w:val="24"/>
              </w:rPr>
            </w:pPr>
            <w:r>
              <w:rPr>
                <w:rFonts w:ascii="仿宋" w:eastAsia="仿宋" w:hAnsi="仿宋" w:cs="仿宋" w:hint="eastAsia"/>
                <w:bCs/>
                <w:sz w:val="24"/>
              </w:rPr>
              <w:t>装修和设备管线</w:t>
            </w:r>
          </w:p>
        </w:tc>
        <w:tc>
          <w:tcPr>
            <w:tcW w:w="2715"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17719DDF" w14:textId="77777777" w:rsidR="00D72B70" w:rsidRDefault="00000000">
            <w:pPr>
              <w:adjustRightInd w:val="0"/>
              <w:snapToGrid w:val="0"/>
              <w:spacing w:line="240" w:lineRule="atLeast"/>
              <w:jc w:val="center"/>
              <w:rPr>
                <w:rFonts w:ascii="仿宋" w:eastAsia="仿宋" w:hAnsi="仿宋" w:cs="仿宋"/>
                <w:bCs/>
                <w:sz w:val="24"/>
              </w:rPr>
            </w:pPr>
            <w:r>
              <w:rPr>
                <w:rFonts w:ascii="仿宋" w:eastAsia="仿宋" w:hAnsi="仿宋" w:cs="仿宋" w:hint="eastAsia"/>
                <w:bCs/>
                <w:sz w:val="24"/>
              </w:rPr>
              <w:t>全装修</w:t>
            </w:r>
          </w:p>
        </w:tc>
        <w:tc>
          <w:tcPr>
            <w:tcW w:w="2115"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7CC225B0" w14:textId="77777777" w:rsidR="00D72B70" w:rsidRDefault="00000000">
            <w:pPr>
              <w:widowControl/>
              <w:adjustRightInd w:val="0"/>
              <w:snapToGrid w:val="0"/>
              <w:spacing w:line="240" w:lineRule="atLeast"/>
              <w:jc w:val="center"/>
              <w:textAlignment w:val="center"/>
              <w:rPr>
                <w:rFonts w:ascii="仿宋" w:eastAsia="仿宋" w:hAnsi="仿宋" w:cs="仿宋"/>
                <w:kern w:val="0"/>
                <w:sz w:val="24"/>
                <w:lang w:bidi="ar"/>
              </w:rPr>
            </w:pPr>
            <w:r>
              <w:rPr>
                <w:rFonts w:ascii="仿宋" w:eastAsia="仿宋" w:hAnsi="仿宋" w:cs="仿宋" w:hint="eastAsia"/>
                <w:kern w:val="0"/>
                <w:sz w:val="24"/>
                <w:lang w:bidi="ar"/>
              </w:rPr>
              <w:t>0</w:t>
            </w:r>
          </w:p>
        </w:tc>
      </w:tr>
      <w:tr w:rsidR="00D72B70" w14:paraId="4312AA61" w14:textId="77777777">
        <w:trPr>
          <w:trHeight w:val="85"/>
          <w:jc w:val="center"/>
        </w:trPr>
        <w:tc>
          <w:tcPr>
            <w:tcW w:w="1412" w:type="dxa"/>
            <w:vMerge w:val="restart"/>
            <w:tcBorders>
              <w:top w:val="single" w:sz="4" w:space="0" w:color="auto"/>
              <w:left w:val="single" w:sz="4" w:space="0" w:color="auto"/>
              <w:bottom w:val="single" w:sz="4" w:space="0" w:color="auto"/>
              <w:right w:val="single" w:sz="4" w:space="0" w:color="auto"/>
            </w:tcBorders>
            <w:vAlign w:val="center"/>
          </w:tcPr>
          <w:p w14:paraId="3215E9CB" w14:textId="77777777" w:rsidR="00D72B70" w:rsidRDefault="00000000">
            <w:pPr>
              <w:adjustRightInd w:val="0"/>
              <w:snapToGrid w:val="0"/>
              <w:spacing w:line="240" w:lineRule="atLeast"/>
              <w:jc w:val="center"/>
              <w:rPr>
                <w:rFonts w:ascii="仿宋" w:eastAsia="仿宋" w:hAnsi="仿宋" w:cs="仿宋"/>
                <w:bCs/>
                <w:sz w:val="24"/>
              </w:rPr>
            </w:pPr>
            <w:r>
              <w:rPr>
                <w:rFonts w:ascii="仿宋" w:eastAsia="仿宋" w:hAnsi="仿宋" w:cs="仿宋" w:hint="eastAsia"/>
                <w:bCs/>
                <w:sz w:val="24"/>
              </w:rPr>
              <w:t>技术创新</w:t>
            </w:r>
          </w:p>
        </w:tc>
        <w:tc>
          <w:tcPr>
            <w:tcW w:w="2715"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0DB6E3EB" w14:textId="77777777" w:rsidR="00D72B70" w:rsidRDefault="00000000">
            <w:pPr>
              <w:adjustRightInd w:val="0"/>
              <w:snapToGrid w:val="0"/>
              <w:spacing w:line="240" w:lineRule="atLeast"/>
              <w:jc w:val="center"/>
              <w:rPr>
                <w:rFonts w:ascii="仿宋" w:eastAsia="仿宋" w:hAnsi="仿宋" w:cs="仿宋"/>
                <w:bCs/>
                <w:sz w:val="24"/>
              </w:rPr>
            </w:pPr>
            <w:r>
              <w:rPr>
                <w:rFonts w:ascii="仿宋" w:eastAsia="仿宋" w:hAnsi="仿宋" w:cs="仿宋" w:hint="eastAsia"/>
                <w:bCs/>
                <w:sz w:val="24"/>
              </w:rPr>
              <w:t>设计阶段BIM技术应用</w:t>
            </w:r>
          </w:p>
        </w:tc>
        <w:tc>
          <w:tcPr>
            <w:tcW w:w="2115"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3C5279AD" w14:textId="77777777" w:rsidR="00D72B70" w:rsidRDefault="00000000">
            <w:pPr>
              <w:adjustRightInd w:val="0"/>
              <w:snapToGrid w:val="0"/>
              <w:spacing w:line="240" w:lineRule="atLeast"/>
              <w:jc w:val="center"/>
              <w:rPr>
                <w:rFonts w:ascii="仿宋" w:eastAsia="仿宋" w:hAnsi="仿宋" w:cs="仿宋"/>
                <w:bCs/>
                <w:sz w:val="24"/>
              </w:rPr>
            </w:pPr>
            <w:r>
              <w:rPr>
                <w:rFonts w:ascii="仿宋" w:eastAsia="仿宋" w:hAnsi="仿宋" w:cs="仿宋" w:hint="eastAsia"/>
                <w:bCs/>
                <w:sz w:val="24"/>
              </w:rPr>
              <w:t>3</w:t>
            </w:r>
          </w:p>
        </w:tc>
      </w:tr>
      <w:tr w:rsidR="00D72B70" w14:paraId="3F010326" w14:textId="77777777">
        <w:trPr>
          <w:trHeight w:val="85"/>
          <w:jc w:val="center"/>
        </w:trPr>
        <w:tc>
          <w:tcPr>
            <w:tcW w:w="1412" w:type="dxa"/>
            <w:vMerge/>
            <w:tcBorders>
              <w:left w:val="single" w:sz="4" w:space="0" w:color="auto"/>
              <w:right w:val="single" w:sz="4" w:space="0" w:color="auto"/>
            </w:tcBorders>
            <w:vAlign w:val="center"/>
          </w:tcPr>
          <w:p w14:paraId="3E1F1E7C" w14:textId="77777777" w:rsidR="00D72B70" w:rsidRDefault="00D72B70">
            <w:pPr>
              <w:adjustRightInd w:val="0"/>
              <w:snapToGrid w:val="0"/>
              <w:spacing w:line="240" w:lineRule="atLeast"/>
              <w:jc w:val="center"/>
              <w:rPr>
                <w:rFonts w:ascii="仿宋" w:eastAsia="仿宋" w:hAnsi="仿宋" w:cs="仿宋"/>
                <w:bCs/>
                <w:sz w:val="24"/>
              </w:rPr>
            </w:pPr>
          </w:p>
        </w:tc>
        <w:tc>
          <w:tcPr>
            <w:tcW w:w="2715"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4AE14D51" w14:textId="77777777" w:rsidR="00D72B70" w:rsidRDefault="00000000">
            <w:pPr>
              <w:adjustRightInd w:val="0"/>
              <w:snapToGrid w:val="0"/>
              <w:spacing w:line="240" w:lineRule="atLeast"/>
              <w:jc w:val="center"/>
              <w:rPr>
                <w:rFonts w:ascii="仿宋" w:eastAsia="仿宋" w:hAnsi="仿宋" w:cs="仿宋"/>
                <w:bCs/>
                <w:sz w:val="24"/>
              </w:rPr>
            </w:pPr>
            <w:r>
              <w:rPr>
                <w:rFonts w:ascii="仿宋" w:eastAsia="仿宋" w:hAnsi="仿宋" w:cs="仿宋" w:hint="eastAsia"/>
                <w:bCs/>
                <w:sz w:val="24"/>
              </w:rPr>
              <w:t>施工阶段BIM技术应用</w:t>
            </w:r>
          </w:p>
        </w:tc>
        <w:tc>
          <w:tcPr>
            <w:tcW w:w="2115"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40600733" w14:textId="40459830" w:rsidR="00D72B70" w:rsidRDefault="009A29B0">
            <w:pPr>
              <w:adjustRightInd w:val="0"/>
              <w:snapToGrid w:val="0"/>
              <w:spacing w:line="240" w:lineRule="atLeast"/>
              <w:jc w:val="center"/>
              <w:rPr>
                <w:rFonts w:ascii="仿宋" w:eastAsia="仿宋" w:hAnsi="仿宋" w:cs="仿宋"/>
                <w:bCs/>
                <w:sz w:val="24"/>
              </w:rPr>
            </w:pPr>
            <w:r>
              <w:rPr>
                <w:rFonts w:ascii="仿宋" w:eastAsia="仿宋" w:hAnsi="仿宋" w:cs="仿宋"/>
                <w:bCs/>
                <w:sz w:val="24"/>
              </w:rPr>
              <w:t>2</w:t>
            </w:r>
          </w:p>
        </w:tc>
      </w:tr>
      <w:tr w:rsidR="00D72B70" w14:paraId="6F3FD99B" w14:textId="77777777">
        <w:trPr>
          <w:trHeight w:val="85"/>
          <w:jc w:val="center"/>
        </w:trPr>
        <w:tc>
          <w:tcPr>
            <w:tcW w:w="4127" w:type="dxa"/>
            <w:gridSpan w:val="2"/>
            <w:tcBorders>
              <w:top w:val="single" w:sz="4" w:space="0" w:color="auto"/>
              <w:left w:val="single" w:sz="4" w:space="0" w:color="auto"/>
              <w:bottom w:val="single" w:sz="4" w:space="0" w:color="auto"/>
              <w:right w:val="single" w:sz="4" w:space="0" w:color="auto"/>
            </w:tcBorders>
            <w:vAlign w:val="center"/>
          </w:tcPr>
          <w:p w14:paraId="24E2978E" w14:textId="77777777" w:rsidR="00D72B70" w:rsidRDefault="00000000">
            <w:pPr>
              <w:adjustRightInd w:val="0"/>
              <w:snapToGrid w:val="0"/>
              <w:spacing w:line="240" w:lineRule="atLeast"/>
              <w:jc w:val="center"/>
              <w:rPr>
                <w:rFonts w:ascii="仿宋" w:eastAsia="仿宋" w:hAnsi="仿宋" w:cs="仿宋"/>
                <w:bCs/>
                <w:sz w:val="24"/>
              </w:rPr>
            </w:pPr>
            <w:r>
              <w:rPr>
                <w:rFonts w:ascii="仿宋" w:eastAsia="仿宋" w:hAnsi="仿宋" w:cs="仿宋" w:hint="eastAsia"/>
                <w:bCs/>
                <w:sz w:val="24"/>
              </w:rPr>
              <w:t>评价分值总计</w:t>
            </w:r>
          </w:p>
        </w:tc>
        <w:tc>
          <w:tcPr>
            <w:tcW w:w="2115"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23DCF8C1" w14:textId="27F82DD5" w:rsidR="00D72B70" w:rsidRDefault="00000000">
            <w:pPr>
              <w:widowControl/>
              <w:adjustRightInd w:val="0"/>
              <w:snapToGrid w:val="0"/>
              <w:spacing w:line="240" w:lineRule="atLeast"/>
              <w:jc w:val="center"/>
              <w:textAlignment w:val="center"/>
              <w:rPr>
                <w:rFonts w:ascii="仿宋" w:eastAsia="仿宋" w:hAnsi="仿宋" w:cs="仿宋"/>
                <w:bCs/>
                <w:sz w:val="24"/>
              </w:rPr>
            </w:pPr>
            <w:r>
              <w:rPr>
                <w:rFonts w:ascii="仿宋" w:eastAsia="仿宋" w:hAnsi="仿宋" w:cs="仿宋" w:hint="eastAsia"/>
                <w:kern w:val="0"/>
                <w:sz w:val="24"/>
                <w:lang w:bidi="ar"/>
              </w:rPr>
              <w:t>5</w:t>
            </w:r>
            <w:r w:rsidR="009A29B0">
              <w:rPr>
                <w:rFonts w:ascii="仿宋" w:eastAsia="仿宋" w:hAnsi="仿宋" w:cs="仿宋"/>
                <w:kern w:val="0"/>
                <w:sz w:val="24"/>
                <w:lang w:bidi="ar"/>
              </w:rPr>
              <w:t>3</w:t>
            </w:r>
            <w:r>
              <w:rPr>
                <w:rFonts w:ascii="仿宋" w:eastAsia="仿宋" w:hAnsi="仿宋" w:cs="仿宋" w:hint="eastAsia"/>
                <w:kern w:val="0"/>
                <w:sz w:val="24"/>
                <w:lang w:bidi="ar"/>
              </w:rPr>
              <w:t>.2</w:t>
            </w:r>
          </w:p>
        </w:tc>
      </w:tr>
      <w:tr w:rsidR="00D72B70" w14:paraId="08A505AF" w14:textId="77777777">
        <w:trPr>
          <w:trHeight w:val="85"/>
          <w:jc w:val="center"/>
        </w:trPr>
        <w:tc>
          <w:tcPr>
            <w:tcW w:w="4127" w:type="dxa"/>
            <w:gridSpan w:val="2"/>
            <w:tcBorders>
              <w:top w:val="single" w:sz="4" w:space="0" w:color="auto"/>
              <w:left w:val="single" w:sz="4" w:space="0" w:color="auto"/>
              <w:bottom w:val="single" w:sz="4" w:space="0" w:color="auto"/>
              <w:right w:val="single" w:sz="4" w:space="0" w:color="auto"/>
            </w:tcBorders>
            <w:vAlign w:val="center"/>
          </w:tcPr>
          <w:p w14:paraId="7F8BF2CF" w14:textId="77777777" w:rsidR="00D72B70" w:rsidRDefault="00000000">
            <w:pPr>
              <w:adjustRightInd w:val="0"/>
              <w:snapToGrid w:val="0"/>
              <w:spacing w:line="240" w:lineRule="atLeast"/>
              <w:jc w:val="center"/>
              <w:rPr>
                <w:rFonts w:ascii="仿宋" w:eastAsia="仿宋" w:hAnsi="仿宋" w:cs="仿宋"/>
                <w:bCs/>
                <w:sz w:val="24"/>
              </w:rPr>
            </w:pPr>
            <w:r>
              <w:rPr>
                <w:rFonts w:ascii="仿宋" w:eastAsia="仿宋" w:hAnsi="仿宋" w:cs="仿宋" w:hint="eastAsia"/>
                <w:bCs/>
                <w:sz w:val="24"/>
              </w:rPr>
              <w:t>装配率（%）</w:t>
            </w:r>
          </w:p>
        </w:tc>
        <w:tc>
          <w:tcPr>
            <w:tcW w:w="2115" w:type="dxa"/>
            <w:tcBorders>
              <w:top w:val="single" w:sz="4" w:space="0" w:color="auto"/>
              <w:left w:val="single" w:sz="4" w:space="0" w:color="auto"/>
              <w:bottom w:val="single" w:sz="4" w:space="0" w:color="auto"/>
              <w:right w:val="single" w:sz="4" w:space="0" w:color="auto"/>
            </w:tcBorders>
            <w:tcMar>
              <w:top w:w="72" w:type="dxa"/>
              <w:left w:w="144" w:type="dxa"/>
              <w:bottom w:w="72" w:type="dxa"/>
              <w:right w:w="144" w:type="dxa"/>
            </w:tcMar>
            <w:vAlign w:val="center"/>
          </w:tcPr>
          <w:p w14:paraId="36EEF7CB" w14:textId="4BF62FAC" w:rsidR="00D72B70" w:rsidRDefault="00000000">
            <w:pPr>
              <w:widowControl/>
              <w:adjustRightInd w:val="0"/>
              <w:snapToGrid w:val="0"/>
              <w:spacing w:line="240" w:lineRule="atLeast"/>
              <w:jc w:val="center"/>
              <w:textAlignment w:val="center"/>
              <w:rPr>
                <w:rFonts w:ascii="仿宋" w:eastAsia="仿宋" w:hAnsi="仿宋" w:cs="仿宋"/>
                <w:bCs/>
                <w:sz w:val="24"/>
              </w:rPr>
            </w:pPr>
            <w:r>
              <w:rPr>
                <w:rFonts w:ascii="仿宋" w:eastAsia="仿宋" w:hAnsi="仿宋" w:cs="仿宋" w:hint="eastAsia"/>
                <w:kern w:val="0"/>
                <w:sz w:val="24"/>
                <w:lang w:bidi="ar"/>
              </w:rPr>
              <w:t>5</w:t>
            </w:r>
            <w:r w:rsidR="009A29B0">
              <w:rPr>
                <w:rFonts w:ascii="仿宋" w:eastAsia="仿宋" w:hAnsi="仿宋" w:cs="仿宋"/>
                <w:kern w:val="0"/>
                <w:sz w:val="24"/>
                <w:lang w:bidi="ar"/>
              </w:rPr>
              <w:t>3</w:t>
            </w:r>
            <w:r>
              <w:rPr>
                <w:rFonts w:ascii="仿宋" w:eastAsia="仿宋" w:hAnsi="仿宋" w:cs="仿宋" w:hint="eastAsia"/>
                <w:kern w:val="0"/>
                <w:sz w:val="24"/>
                <w:lang w:bidi="ar"/>
              </w:rPr>
              <w:t>%</w:t>
            </w:r>
          </w:p>
        </w:tc>
      </w:tr>
    </w:tbl>
    <w:p w14:paraId="3DD7C35F" w14:textId="77777777" w:rsidR="00D72B70" w:rsidRDefault="00000000">
      <w:pPr>
        <w:spacing w:line="440" w:lineRule="exact"/>
        <w:ind w:firstLineChars="200" w:firstLine="560"/>
        <w:rPr>
          <w:rFonts w:ascii="仿宋_GB2312" w:eastAsia="仿宋_GB2312" w:hAnsi="宋体"/>
          <w:bCs/>
          <w:sz w:val="28"/>
          <w:szCs w:val="28"/>
        </w:rPr>
      </w:pPr>
      <w:r>
        <w:rPr>
          <w:rFonts w:ascii="仿宋_GB2312" w:eastAsia="仿宋_GB2312" w:hAnsi="宋体" w:hint="eastAsia"/>
          <w:bCs/>
          <w:sz w:val="28"/>
          <w:szCs w:val="28"/>
        </w:rPr>
        <w:t>该工程施工图设计文件已通过审图机构审查。</w:t>
      </w:r>
    </w:p>
    <w:p w14:paraId="196EE137" w14:textId="77777777" w:rsidR="00D72B70" w:rsidRDefault="00000000">
      <w:pPr>
        <w:spacing w:line="440" w:lineRule="exact"/>
        <w:ind w:firstLineChars="200" w:firstLine="560"/>
        <w:rPr>
          <w:rFonts w:ascii="仿宋_GB2312" w:eastAsia="仿宋_GB2312" w:hAnsi="宋体"/>
          <w:bCs/>
          <w:sz w:val="28"/>
          <w:szCs w:val="28"/>
        </w:rPr>
      </w:pPr>
      <w:r>
        <w:rPr>
          <w:rFonts w:ascii="仿宋_GB2312" w:eastAsia="仿宋_GB2312" w:hAnsi="宋体" w:hint="eastAsia"/>
          <w:bCs/>
          <w:sz w:val="28"/>
          <w:szCs w:val="28"/>
        </w:rPr>
        <w:t>审查机构：福州建功施工图审查有限公司</w:t>
      </w:r>
    </w:p>
    <w:p w14:paraId="4DC2BC51" w14:textId="77777777" w:rsidR="00D72B70" w:rsidRDefault="00000000">
      <w:pPr>
        <w:spacing w:line="440" w:lineRule="exact"/>
        <w:ind w:firstLineChars="200" w:firstLine="560"/>
        <w:rPr>
          <w:rFonts w:ascii="仿宋_GB2312" w:eastAsia="仿宋_GB2312" w:hAnsi="宋体"/>
          <w:bCs/>
          <w:sz w:val="28"/>
          <w:szCs w:val="28"/>
        </w:rPr>
      </w:pPr>
      <w:r>
        <w:rPr>
          <w:rFonts w:ascii="仿宋_GB2312" w:eastAsia="仿宋_GB2312" w:hAnsi="宋体" w:hint="eastAsia"/>
          <w:bCs/>
          <w:sz w:val="28"/>
          <w:szCs w:val="28"/>
        </w:rPr>
        <w:t>合格证编号:</w:t>
      </w:r>
      <w:r>
        <w:rPr>
          <w:rFonts w:ascii="仿宋_GB2312" w:eastAsia="仿宋_GB2312" w:hAnsi="宋体"/>
          <w:bCs/>
          <w:sz w:val="28"/>
          <w:szCs w:val="28"/>
        </w:rPr>
        <w:t>350</w:t>
      </w:r>
      <w:r>
        <w:rPr>
          <w:rFonts w:ascii="仿宋_GB2312" w:eastAsia="仿宋_GB2312" w:hAnsi="宋体" w:hint="eastAsia"/>
          <w:bCs/>
          <w:sz w:val="28"/>
          <w:szCs w:val="28"/>
        </w:rPr>
        <w:t>1112107080102</w:t>
      </w:r>
      <w:r>
        <w:rPr>
          <w:rFonts w:ascii="仿宋_GB2312" w:eastAsia="仿宋_GB2312" w:hAnsi="宋体"/>
          <w:bCs/>
          <w:sz w:val="28"/>
          <w:szCs w:val="28"/>
        </w:rPr>
        <w:t>-TX-00</w:t>
      </w:r>
      <w:r>
        <w:rPr>
          <w:rFonts w:ascii="仿宋_GB2312" w:eastAsia="仿宋_GB2312" w:hAnsi="宋体" w:hint="eastAsia"/>
          <w:bCs/>
          <w:sz w:val="28"/>
          <w:szCs w:val="28"/>
        </w:rPr>
        <w:t>1。</w:t>
      </w:r>
    </w:p>
    <w:p w14:paraId="42BF5840" w14:textId="77777777" w:rsidR="00D72B70" w:rsidRDefault="00000000">
      <w:pPr>
        <w:spacing w:line="440" w:lineRule="exact"/>
        <w:ind w:firstLineChars="200" w:firstLine="560"/>
        <w:rPr>
          <w:rFonts w:ascii="仿宋_GB2312" w:eastAsia="仿宋_GB2312" w:hAnsi="宋体"/>
          <w:bCs/>
          <w:sz w:val="28"/>
          <w:szCs w:val="28"/>
        </w:rPr>
      </w:pPr>
      <w:r>
        <w:rPr>
          <w:rFonts w:ascii="仿宋_GB2312" w:eastAsia="仿宋_GB2312" w:hAnsi="宋体" w:hint="eastAsia"/>
          <w:bCs/>
          <w:sz w:val="28"/>
          <w:szCs w:val="28"/>
        </w:rPr>
        <w:lastRenderedPageBreak/>
        <w:t>与会专家及相关职能部门领导听取了福州市规划设计研究院集团有限公司及建设单位对该工程的介绍，经会议研究讨论，形成以下意见：</w:t>
      </w:r>
    </w:p>
    <w:p w14:paraId="41A96D83" w14:textId="77777777" w:rsidR="00D72B70" w:rsidRDefault="00000000">
      <w:pPr>
        <w:numPr>
          <w:ilvl w:val="0"/>
          <w:numId w:val="1"/>
        </w:numPr>
        <w:spacing w:line="440" w:lineRule="exact"/>
        <w:ind w:firstLineChars="200" w:firstLine="560"/>
        <w:rPr>
          <w:rFonts w:ascii="仿宋_GB2312" w:eastAsia="仿宋_GB2312" w:hAnsi="宋体"/>
          <w:bCs/>
          <w:sz w:val="28"/>
          <w:szCs w:val="28"/>
        </w:rPr>
      </w:pPr>
      <w:r>
        <w:rPr>
          <w:rFonts w:ascii="仿宋_GB2312" w:eastAsia="仿宋_GB2312" w:hAnsi="宋体" w:hint="eastAsia"/>
          <w:bCs/>
          <w:sz w:val="28"/>
          <w:szCs w:val="28"/>
        </w:rPr>
        <w:t>该工程采用装配式建造的地上计容建筑面积大于项目地上总计容建筑面积的50%，符合《福州市人民政府关于加快发展装配式建筑的实施意见（试行）》（榕政综〔2017〕1164号）文的相关规定，且满足该项目《国有建设用地使用权出让合同》（合同编号：35010020211222X059）的相关要求。</w:t>
      </w:r>
    </w:p>
    <w:p w14:paraId="1BDB0166" w14:textId="77777777" w:rsidR="00D72B70" w:rsidRDefault="00000000">
      <w:pPr>
        <w:spacing w:line="440" w:lineRule="exact"/>
        <w:ind w:firstLineChars="200" w:firstLine="560"/>
        <w:rPr>
          <w:rFonts w:ascii="仿宋_GB2312" w:eastAsia="仿宋_GB2312" w:hAnsi="宋体"/>
          <w:bCs/>
          <w:sz w:val="28"/>
          <w:szCs w:val="28"/>
        </w:rPr>
      </w:pPr>
      <w:r>
        <w:rPr>
          <w:rFonts w:ascii="仿宋_GB2312" w:eastAsia="仿宋_GB2312" w:hAnsi="宋体" w:hint="eastAsia"/>
          <w:bCs/>
          <w:sz w:val="28"/>
          <w:szCs w:val="28"/>
        </w:rPr>
        <w:t>(2) 该工程门诊住院综合楼装配式建筑设计相关资料完整，其主体结构、围护墙和内隔墙、技术创新部分的分值均不低于最低分值要求，建筑装配率不低于50%，符合《福建省装配式建筑评价管理办法（试行）》（闽建〔2020〕4号）文的相关规定，同意该工程门诊住院综合楼设计阶段预评价为装配式建筑。</w:t>
      </w:r>
    </w:p>
    <w:p w14:paraId="3BD1727B" w14:textId="77777777" w:rsidR="00D72B70" w:rsidRDefault="00D72B70">
      <w:pPr>
        <w:spacing w:line="440" w:lineRule="exact"/>
        <w:ind w:firstLineChars="200" w:firstLine="560"/>
        <w:rPr>
          <w:rFonts w:ascii="仿宋_GB2312" w:eastAsia="仿宋_GB2312" w:hAnsi="宋体"/>
          <w:bCs/>
          <w:sz w:val="28"/>
          <w:szCs w:val="28"/>
        </w:rPr>
      </w:pPr>
    </w:p>
    <w:p w14:paraId="6D21BD03" w14:textId="77777777" w:rsidR="00D72B70" w:rsidRDefault="00D72B70">
      <w:pPr>
        <w:pStyle w:val="2"/>
        <w:spacing w:line="440" w:lineRule="exact"/>
        <w:ind w:firstLineChars="0" w:firstLine="0"/>
      </w:pPr>
    </w:p>
    <w:p w14:paraId="425CFE3F" w14:textId="77777777" w:rsidR="00D72B70" w:rsidRDefault="00000000">
      <w:pPr>
        <w:spacing w:line="440" w:lineRule="exact"/>
        <w:rPr>
          <w:rFonts w:ascii="仿宋_GB2312" w:eastAsia="仿宋_GB2312" w:hAnsi="宋体"/>
          <w:bCs/>
          <w:sz w:val="32"/>
          <w:szCs w:val="32"/>
        </w:rPr>
      </w:pPr>
      <w:r>
        <w:rPr>
          <w:rFonts w:ascii="仿宋_GB2312" w:eastAsia="仿宋_GB2312" w:hAnsi="宋体" w:hint="eastAsia"/>
          <w:bCs/>
          <w:sz w:val="28"/>
          <w:szCs w:val="28"/>
        </w:rPr>
        <w:t>专家名单：</w:t>
      </w:r>
      <w:r>
        <w:rPr>
          <w:rFonts w:ascii="仿宋_GB2312" w:eastAsia="仿宋_GB2312" w:hAnsi="宋体" w:hint="eastAsia"/>
          <w:bCs/>
          <w:sz w:val="32"/>
          <w:szCs w:val="32"/>
        </w:rPr>
        <w:t xml:space="preserve">  </w:t>
      </w:r>
    </w:p>
    <w:p w14:paraId="6F405348" w14:textId="77777777" w:rsidR="00335BED" w:rsidRDefault="00335BED" w:rsidP="00335BED">
      <w:pPr>
        <w:spacing w:line="500" w:lineRule="exact"/>
        <w:ind w:firstLineChars="200" w:firstLine="560"/>
        <w:rPr>
          <w:rFonts w:ascii="仿宋_GB2312" w:eastAsia="仿宋_GB2312" w:hAnsi="宋体"/>
          <w:bCs/>
          <w:sz w:val="28"/>
          <w:szCs w:val="28"/>
        </w:rPr>
      </w:pPr>
    </w:p>
    <w:p w14:paraId="431FF87B" w14:textId="3C8C5908" w:rsidR="00335BED" w:rsidRDefault="00335BED" w:rsidP="00335BED">
      <w:pPr>
        <w:spacing w:line="500" w:lineRule="exact"/>
        <w:ind w:firstLineChars="200" w:firstLine="560"/>
        <w:rPr>
          <w:rFonts w:ascii="仿宋_GB2312" w:eastAsia="仿宋_GB2312" w:hAnsi="宋体"/>
          <w:bCs/>
          <w:sz w:val="28"/>
          <w:szCs w:val="28"/>
        </w:rPr>
      </w:pPr>
      <w:r>
        <w:rPr>
          <w:rFonts w:ascii="仿宋_GB2312" w:eastAsia="仿宋_GB2312" w:hAnsi="宋体" w:hint="eastAsia"/>
          <w:bCs/>
          <w:sz w:val="28"/>
          <w:szCs w:val="28"/>
        </w:rPr>
        <w:t>罗贤亮  中建海峡建设发展有限公司           教授级高工</w:t>
      </w:r>
    </w:p>
    <w:p w14:paraId="04928EEE" w14:textId="77777777" w:rsidR="00D72B70" w:rsidRPr="00335BED" w:rsidRDefault="00D72B70">
      <w:pPr>
        <w:spacing w:line="440" w:lineRule="exact"/>
        <w:rPr>
          <w:rFonts w:ascii="仿宋_GB2312" w:eastAsia="仿宋_GB2312" w:hAnsi="宋体"/>
          <w:bCs/>
          <w:sz w:val="28"/>
          <w:szCs w:val="28"/>
        </w:rPr>
      </w:pPr>
    </w:p>
    <w:p w14:paraId="0582045A" w14:textId="136C2DE3" w:rsidR="00D72B70" w:rsidRDefault="00000000">
      <w:pPr>
        <w:spacing w:line="500" w:lineRule="exact"/>
        <w:ind w:firstLineChars="200" w:firstLine="560"/>
        <w:rPr>
          <w:rFonts w:ascii="仿宋_GB2312" w:eastAsia="仿宋_GB2312" w:hAnsi="宋体"/>
          <w:bCs/>
          <w:sz w:val="28"/>
          <w:szCs w:val="28"/>
        </w:rPr>
      </w:pPr>
      <w:r>
        <w:rPr>
          <w:rFonts w:ascii="仿宋_GB2312" w:eastAsia="仿宋_GB2312" w:hAnsi="宋体" w:hint="eastAsia"/>
          <w:bCs/>
          <w:sz w:val="28"/>
          <w:szCs w:val="28"/>
        </w:rPr>
        <w:t xml:space="preserve">林珠清  </w:t>
      </w:r>
      <w:r w:rsidR="00806A29">
        <w:rPr>
          <w:rFonts w:ascii="仿宋_GB2312" w:eastAsia="仿宋_GB2312" w:hAnsi="宋体" w:hint="eastAsia"/>
          <w:bCs/>
          <w:sz w:val="28"/>
          <w:szCs w:val="28"/>
        </w:rPr>
        <w:t>福建省建筑科学研究院</w:t>
      </w:r>
      <w:r>
        <w:rPr>
          <w:rFonts w:ascii="仿宋_GB2312" w:eastAsia="仿宋_GB2312" w:hAnsi="宋体" w:hint="eastAsia"/>
          <w:bCs/>
          <w:sz w:val="28"/>
          <w:szCs w:val="28"/>
        </w:rPr>
        <w:t>有限</w:t>
      </w:r>
      <w:r w:rsidR="00806A29">
        <w:rPr>
          <w:rFonts w:ascii="仿宋_GB2312" w:eastAsia="仿宋_GB2312" w:hAnsi="宋体" w:hint="eastAsia"/>
          <w:bCs/>
          <w:sz w:val="28"/>
          <w:szCs w:val="28"/>
        </w:rPr>
        <w:t>责任</w:t>
      </w:r>
      <w:r>
        <w:rPr>
          <w:rFonts w:ascii="仿宋_GB2312" w:eastAsia="仿宋_GB2312" w:hAnsi="宋体" w:hint="eastAsia"/>
          <w:bCs/>
          <w:sz w:val="28"/>
          <w:szCs w:val="28"/>
        </w:rPr>
        <w:t xml:space="preserve">公司   </w:t>
      </w:r>
      <w:r w:rsidR="00730820">
        <w:rPr>
          <w:rFonts w:ascii="仿宋_GB2312" w:eastAsia="仿宋_GB2312" w:hAnsi="宋体" w:hint="eastAsia"/>
          <w:bCs/>
          <w:sz w:val="28"/>
          <w:szCs w:val="28"/>
        </w:rPr>
        <w:t>高级工程师</w:t>
      </w:r>
    </w:p>
    <w:p w14:paraId="19631BB2" w14:textId="77777777" w:rsidR="00D72B70" w:rsidRDefault="00D72B70">
      <w:pPr>
        <w:spacing w:line="500" w:lineRule="exact"/>
        <w:ind w:firstLineChars="200" w:firstLine="560"/>
        <w:rPr>
          <w:rFonts w:ascii="仿宋_GB2312" w:eastAsia="仿宋_GB2312" w:hAnsi="宋体" w:hint="eastAsia"/>
          <w:bCs/>
          <w:sz w:val="28"/>
          <w:szCs w:val="28"/>
        </w:rPr>
      </w:pPr>
    </w:p>
    <w:p w14:paraId="0A2A4373" w14:textId="7CACF339" w:rsidR="00D72B70" w:rsidRDefault="00000000">
      <w:pPr>
        <w:spacing w:line="500" w:lineRule="exact"/>
        <w:ind w:firstLineChars="200" w:firstLine="560"/>
        <w:rPr>
          <w:rFonts w:ascii="仿宋_GB2312" w:eastAsia="仿宋_GB2312" w:hAnsi="宋体"/>
          <w:bCs/>
          <w:sz w:val="28"/>
          <w:szCs w:val="28"/>
        </w:rPr>
      </w:pPr>
      <w:r>
        <w:rPr>
          <w:rFonts w:ascii="仿宋_GB2312" w:eastAsia="仿宋_GB2312" w:hAnsi="宋体" w:hint="eastAsia"/>
          <w:bCs/>
          <w:sz w:val="28"/>
          <w:szCs w:val="28"/>
        </w:rPr>
        <w:t>蔡仁武  福建</w:t>
      </w:r>
      <w:r w:rsidR="00BD6468">
        <w:rPr>
          <w:rFonts w:ascii="仿宋_GB2312" w:eastAsia="仿宋_GB2312" w:hAnsi="宋体" w:hint="eastAsia"/>
          <w:bCs/>
          <w:sz w:val="28"/>
          <w:szCs w:val="28"/>
        </w:rPr>
        <w:t>左海</w:t>
      </w:r>
      <w:r>
        <w:rPr>
          <w:rFonts w:ascii="仿宋_GB2312" w:eastAsia="仿宋_GB2312" w:hAnsi="宋体" w:hint="eastAsia"/>
          <w:bCs/>
          <w:sz w:val="28"/>
          <w:szCs w:val="28"/>
        </w:rPr>
        <w:t xml:space="preserve">科技有限公司           </w:t>
      </w:r>
      <w:r w:rsidR="00806A29">
        <w:rPr>
          <w:rFonts w:ascii="仿宋_GB2312" w:eastAsia="仿宋_GB2312" w:hAnsi="宋体"/>
          <w:bCs/>
          <w:sz w:val="28"/>
          <w:szCs w:val="28"/>
        </w:rPr>
        <w:t xml:space="preserve"> </w:t>
      </w:r>
      <w:r>
        <w:rPr>
          <w:rFonts w:ascii="仿宋_GB2312" w:eastAsia="仿宋_GB2312" w:hAnsi="宋体" w:hint="eastAsia"/>
          <w:bCs/>
          <w:sz w:val="28"/>
          <w:szCs w:val="28"/>
        </w:rPr>
        <w:t xml:space="preserve">  工程师</w:t>
      </w:r>
    </w:p>
    <w:p w14:paraId="126A46B5" w14:textId="77777777" w:rsidR="00D72B70" w:rsidRDefault="00D72B70">
      <w:pPr>
        <w:spacing w:line="440" w:lineRule="exact"/>
        <w:ind w:firstLineChars="200" w:firstLine="560"/>
        <w:rPr>
          <w:rFonts w:ascii="仿宋_GB2312" w:eastAsia="仿宋_GB2312" w:hAnsi="宋体"/>
          <w:bCs/>
          <w:sz w:val="28"/>
          <w:szCs w:val="28"/>
        </w:rPr>
      </w:pPr>
    </w:p>
    <w:p w14:paraId="3CF67A04" w14:textId="77777777" w:rsidR="00335BED" w:rsidRPr="00335BED" w:rsidRDefault="00335BED" w:rsidP="00335BED">
      <w:pPr>
        <w:pStyle w:val="2"/>
        <w:ind w:firstLine="640"/>
        <w:rPr>
          <w:rFonts w:hint="eastAsia"/>
        </w:rPr>
      </w:pPr>
    </w:p>
    <w:p w14:paraId="12273C83" w14:textId="77777777" w:rsidR="00D72B70" w:rsidRDefault="00000000">
      <w:pPr>
        <w:wordWrap w:val="0"/>
        <w:spacing w:line="440" w:lineRule="exact"/>
        <w:ind w:leftChars="267" w:left="2321" w:hangingChars="550" w:hanging="1760"/>
        <w:jc w:val="right"/>
        <w:rPr>
          <w:rFonts w:ascii="仿宋_GB2312" w:eastAsia="仿宋_GB2312" w:hAnsi="宋体"/>
          <w:bCs/>
          <w:sz w:val="32"/>
          <w:szCs w:val="32"/>
        </w:rPr>
      </w:pPr>
      <w:r>
        <w:rPr>
          <w:rFonts w:ascii="仿宋_GB2312" w:eastAsia="仿宋_GB2312" w:hAnsi="宋体"/>
          <w:bCs/>
          <w:sz w:val="32"/>
          <w:szCs w:val="32"/>
        </w:rPr>
        <w:t>202</w:t>
      </w:r>
      <w:r>
        <w:rPr>
          <w:rFonts w:ascii="仿宋_GB2312" w:eastAsia="仿宋_GB2312" w:hAnsi="宋体" w:hint="eastAsia"/>
          <w:bCs/>
          <w:sz w:val="32"/>
          <w:szCs w:val="32"/>
        </w:rPr>
        <w:t>3年12月20日</w:t>
      </w:r>
    </w:p>
    <w:p w14:paraId="06492E42" w14:textId="77777777" w:rsidR="00D72B70" w:rsidRDefault="00D72B70">
      <w:pPr>
        <w:spacing w:line="440" w:lineRule="exact"/>
      </w:pPr>
    </w:p>
    <w:sectPr w:rsidR="00D72B7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296DA4"/>
    <w:multiLevelType w:val="singleLevel"/>
    <w:tmpl w:val="2A296DA4"/>
    <w:lvl w:ilvl="0">
      <w:start w:val="1"/>
      <w:numFmt w:val="decimal"/>
      <w:suff w:val="space"/>
      <w:lvlText w:val="(%1)"/>
      <w:lvlJc w:val="left"/>
    </w:lvl>
  </w:abstractNum>
  <w:num w:numId="1" w16cid:durableId="14806112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UwNDlkZmVkNGYyNDU5MTFhNzRhZTE3OGU3ODNlYjcifQ=="/>
  </w:docVars>
  <w:rsids>
    <w:rsidRoot w:val="00FD07C9"/>
    <w:rsid w:val="000230F8"/>
    <w:rsid w:val="00085CA5"/>
    <w:rsid w:val="00335BED"/>
    <w:rsid w:val="005C2B65"/>
    <w:rsid w:val="00667F9C"/>
    <w:rsid w:val="006F2AC3"/>
    <w:rsid w:val="00730820"/>
    <w:rsid w:val="00806A29"/>
    <w:rsid w:val="0091640E"/>
    <w:rsid w:val="009A29B0"/>
    <w:rsid w:val="00BD6468"/>
    <w:rsid w:val="00C46CBE"/>
    <w:rsid w:val="00C67092"/>
    <w:rsid w:val="00D72B70"/>
    <w:rsid w:val="00E44EAB"/>
    <w:rsid w:val="00FD07C9"/>
    <w:rsid w:val="025115B9"/>
    <w:rsid w:val="025907A6"/>
    <w:rsid w:val="047578FE"/>
    <w:rsid w:val="05B71CEB"/>
    <w:rsid w:val="069A210C"/>
    <w:rsid w:val="080E4B02"/>
    <w:rsid w:val="08BE2C18"/>
    <w:rsid w:val="09651EE7"/>
    <w:rsid w:val="09930467"/>
    <w:rsid w:val="09F558AC"/>
    <w:rsid w:val="09F91840"/>
    <w:rsid w:val="0A9E03A2"/>
    <w:rsid w:val="0AC7614C"/>
    <w:rsid w:val="0AE20D40"/>
    <w:rsid w:val="0B2314D3"/>
    <w:rsid w:val="0C4E472C"/>
    <w:rsid w:val="0E682B13"/>
    <w:rsid w:val="0ED36B6E"/>
    <w:rsid w:val="10ED1359"/>
    <w:rsid w:val="133278F9"/>
    <w:rsid w:val="17396E67"/>
    <w:rsid w:val="1A383CBF"/>
    <w:rsid w:val="1A6671EC"/>
    <w:rsid w:val="1F0D7C6E"/>
    <w:rsid w:val="1F0E5379"/>
    <w:rsid w:val="203C26E6"/>
    <w:rsid w:val="20A51982"/>
    <w:rsid w:val="2123363B"/>
    <w:rsid w:val="228201CD"/>
    <w:rsid w:val="24532061"/>
    <w:rsid w:val="24F37D9F"/>
    <w:rsid w:val="25A27E24"/>
    <w:rsid w:val="2666647A"/>
    <w:rsid w:val="2712692A"/>
    <w:rsid w:val="27F5428B"/>
    <w:rsid w:val="282817BD"/>
    <w:rsid w:val="296D0BD4"/>
    <w:rsid w:val="2AEB5128"/>
    <w:rsid w:val="2B3D1515"/>
    <w:rsid w:val="2C0521ED"/>
    <w:rsid w:val="2C7442B6"/>
    <w:rsid w:val="2D08251C"/>
    <w:rsid w:val="2D7E0C79"/>
    <w:rsid w:val="2F570FC0"/>
    <w:rsid w:val="2F713EEC"/>
    <w:rsid w:val="2F8B2875"/>
    <w:rsid w:val="30633F57"/>
    <w:rsid w:val="31833C7B"/>
    <w:rsid w:val="319144A1"/>
    <w:rsid w:val="33E43962"/>
    <w:rsid w:val="367B5207"/>
    <w:rsid w:val="37F6514B"/>
    <w:rsid w:val="38EA6674"/>
    <w:rsid w:val="3DC046B2"/>
    <w:rsid w:val="3E4B3329"/>
    <w:rsid w:val="3E574464"/>
    <w:rsid w:val="40A3371C"/>
    <w:rsid w:val="414C644B"/>
    <w:rsid w:val="423A62C2"/>
    <w:rsid w:val="42C6644E"/>
    <w:rsid w:val="42DE276E"/>
    <w:rsid w:val="44AE7D57"/>
    <w:rsid w:val="44BA339E"/>
    <w:rsid w:val="457C2FEA"/>
    <w:rsid w:val="46472D41"/>
    <w:rsid w:val="47136FE6"/>
    <w:rsid w:val="4785516C"/>
    <w:rsid w:val="48071CB9"/>
    <w:rsid w:val="480777D0"/>
    <w:rsid w:val="481B086D"/>
    <w:rsid w:val="48BA56E0"/>
    <w:rsid w:val="48FB0621"/>
    <w:rsid w:val="4D200BC1"/>
    <w:rsid w:val="4DEE7335"/>
    <w:rsid w:val="4EAB22A9"/>
    <w:rsid w:val="4FB629C0"/>
    <w:rsid w:val="521E4535"/>
    <w:rsid w:val="52507DEC"/>
    <w:rsid w:val="53131FC0"/>
    <w:rsid w:val="5451184C"/>
    <w:rsid w:val="56ED5797"/>
    <w:rsid w:val="576920DD"/>
    <w:rsid w:val="59022C06"/>
    <w:rsid w:val="5A3F44B8"/>
    <w:rsid w:val="5B9B762E"/>
    <w:rsid w:val="5EDD375A"/>
    <w:rsid w:val="5F165495"/>
    <w:rsid w:val="603A18C2"/>
    <w:rsid w:val="60430849"/>
    <w:rsid w:val="62E63092"/>
    <w:rsid w:val="63E536BA"/>
    <w:rsid w:val="66E16111"/>
    <w:rsid w:val="66F174D2"/>
    <w:rsid w:val="672F6128"/>
    <w:rsid w:val="6C5F5640"/>
    <w:rsid w:val="71CF70F5"/>
    <w:rsid w:val="733278B4"/>
    <w:rsid w:val="735741CE"/>
    <w:rsid w:val="73F8793F"/>
    <w:rsid w:val="747F5A02"/>
    <w:rsid w:val="758205BE"/>
    <w:rsid w:val="791A1B8D"/>
    <w:rsid w:val="792F4AAF"/>
    <w:rsid w:val="7A0E4AD4"/>
    <w:rsid w:val="7A2D0B45"/>
    <w:rsid w:val="7BE41691"/>
    <w:rsid w:val="7C82293E"/>
    <w:rsid w:val="7F8E6C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A4C9E"/>
  <w15:docId w15:val="{90BC49DE-896C-4415-959D-70B0F514D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autoRedefine/>
    <w:qFormat/>
    <w:pPr>
      <w:widowControl w:val="0"/>
      <w:jc w:val="both"/>
    </w:pPr>
    <w:rPr>
      <w:rFonts w:ascii="Calibri" w:hAnsi="Calibri"/>
      <w:kern w:val="2"/>
      <w:sz w:val="21"/>
      <w:szCs w:val="24"/>
    </w:rPr>
  </w:style>
  <w:style w:type="paragraph" w:styleId="20">
    <w:name w:val="heading 2"/>
    <w:basedOn w:val="a"/>
    <w:next w:val="a"/>
    <w:autoRedefine/>
    <w:uiPriority w:val="9"/>
    <w:unhideWhenUsed/>
    <w:qFormat/>
    <w:pPr>
      <w:widowControl/>
      <w:spacing w:before="100" w:beforeAutospacing="1" w:after="100" w:afterAutospacing="1"/>
      <w:jc w:val="left"/>
      <w:outlineLvl w:val="1"/>
    </w:pPr>
    <w:rPr>
      <w:rFonts w:ascii="宋体" w:hAnsi="宋体"/>
      <w:b/>
      <w:bCs/>
      <w:kern w:val="0"/>
      <w:sz w:val="36"/>
      <w:szCs w:val="36"/>
    </w:rPr>
  </w:style>
  <w:style w:type="paragraph" w:styleId="3">
    <w:name w:val="heading 3"/>
    <w:basedOn w:val="a"/>
    <w:next w:val="a"/>
    <w:autoRedefine/>
    <w:uiPriority w:val="9"/>
    <w:unhideWhenUsed/>
    <w:qFormat/>
    <w:pPr>
      <w:jc w:val="left"/>
      <w:outlineLvl w:val="2"/>
    </w:pPr>
    <w:rPr>
      <w:rFonts w:ascii="宋体" w:hAnsi="宋体" w:hint="eastAsia"/>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
    <w:link w:val="21"/>
    <w:qFormat/>
    <w:pPr>
      <w:ind w:firstLineChars="200" w:firstLine="420"/>
    </w:pPr>
    <w:rPr>
      <w:rFonts w:ascii="仿宋_GB2312" w:eastAsia="仿宋_GB2312" w:hAnsi="Times New Roman"/>
      <w:sz w:val="32"/>
      <w:szCs w:val="22"/>
    </w:rPr>
  </w:style>
  <w:style w:type="paragraph" w:styleId="a3">
    <w:name w:val="Body Text Indent"/>
    <w:basedOn w:val="a"/>
    <w:link w:val="a4"/>
    <w:autoRedefine/>
    <w:uiPriority w:val="99"/>
    <w:unhideWhenUsed/>
    <w:qFormat/>
    <w:pPr>
      <w:spacing w:after="120"/>
      <w:ind w:leftChars="200" w:left="420"/>
    </w:pPr>
  </w:style>
  <w:style w:type="paragraph" w:styleId="a5">
    <w:name w:val="footer"/>
    <w:basedOn w:val="a"/>
    <w:link w:val="a6"/>
    <w:autoRedefine/>
    <w:uiPriority w:val="99"/>
    <w:unhideWhenUsed/>
    <w:qFormat/>
    <w:pPr>
      <w:tabs>
        <w:tab w:val="center" w:pos="4153"/>
        <w:tab w:val="right" w:pos="8306"/>
      </w:tabs>
      <w:snapToGrid w:val="0"/>
      <w:jc w:val="left"/>
    </w:pPr>
    <w:rPr>
      <w:sz w:val="18"/>
      <w:szCs w:val="18"/>
    </w:rPr>
  </w:style>
  <w:style w:type="paragraph" w:styleId="a7">
    <w:name w:val="header"/>
    <w:basedOn w:val="a"/>
    <w:link w:val="a8"/>
    <w:autoRedefine/>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正文文本缩进 字符"/>
    <w:basedOn w:val="a0"/>
    <w:link w:val="a3"/>
    <w:autoRedefine/>
    <w:uiPriority w:val="99"/>
    <w:semiHidden/>
    <w:qFormat/>
    <w:rPr>
      <w:rFonts w:ascii="Calibri" w:eastAsia="宋体" w:hAnsi="Calibri" w:cs="Times New Roman"/>
      <w:szCs w:val="24"/>
    </w:rPr>
  </w:style>
  <w:style w:type="character" w:customStyle="1" w:styleId="21">
    <w:name w:val="正文文本首行缩进 2 字符"/>
    <w:basedOn w:val="a4"/>
    <w:link w:val="2"/>
    <w:autoRedefine/>
    <w:qFormat/>
    <w:rPr>
      <w:rFonts w:ascii="仿宋_GB2312" w:eastAsia="仿宋_GB2312" w:hAnsi="Times New Roman" w:cs="Times New Roman"/>
      <w:sz w:val="32"/>
      <w:szCs w:val="24"/>
    </w:rPr>
  </w:style>
  <w:style w:type="character" w:customStyle="1" w:styleId="a8">
    <w:name w:val="页眉 字符"/>
    <w:basedOn w:val="a0"/>
    <w:link w:val="a7"/>
    <w:autoRedefine/>
    <w:uiPriority w:val="99"/>
    <w:qFormat/>
    <w:rPr>
      <w:rFonts w:ascii="Calibri" w:eastAsia="宋体" w:hAnsi="Calibri" w:cs="Times New Roman"/>
      <w:sz w:val="18"/>
      <w:szCs w:val="18"/>
    </w:rPr>
  </w:style>
  <w:style w:type="character" w:customStyle="1" w:styleId="a6">
    <w:name w:val="页脚 字符"/>
    <w:basedOn w:val="a0"/>
    <w:link w:val="a5"/>
    <w:autoRedefine/>
    <w:uiPriority w:val="99"/>
    <w:qFormat/>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155</Words>
  <Characters>889</Characters>
  <Application>Microsoft Office Word</Application>
  <DocSecurity>0</DocSecurity>
  <Lines>7</Lines>
  <Paragraphs>2</Paragraphs>
  <ScaleCrop>false</ScaleCrop>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林珠清</dc:creator>
  <cp:lastModifiedBy>lenovo</cp:lastModifiedBy>
  <cp:revision>11</cp:revision>
  <dcterms:created xsi:type="dcterms:W3CDTF">2022-01-10T03:57:00Z</dcterms:created>
  <dcterms:modified xsi:type="dcterms:W3CDTF">2023-12-20T07:57:00Z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E46D34EAB9534423AAAE465E5B1C2A66</vt:lpwstr>
  </property>
</Properties>
</file>