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</w:rPr>
        <w:t>华玺公馆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hint="eastAsia" w:ascii="宋体" w:hAnsi="宋体" w:eastAsia="宋体" w:cs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eastAsia="zh-CN"/>
        </w:rPr>
        <w:t>福州左连房地产开发有限公司</w:t>
      </w:r>
      <w:r>
        <w:rPr>
          <w:rFonts w:hint="default" w:ascii="仿宋" w:hAnsi="仿宋" w:eastAsia="仿宋" w:cs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eastAsia="宋体"/>
          <w:b/>
          <w:u w:val="single"/>
          <w:lang w:val="en-US" w:eastAsia="zh-CN"/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4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>04</w:t>
      </w:r>
      <w:r>
        <w:rPr>
          <w:rFonts w:ascii="仿宋" w:hAnsi="仿宋" w:eastAsia="仿宋"/>
          <w:b/>
          <w:szCs w:val="22"/>
          <w:u w:val="thick"/>
        </w:rPr>
        <w:t xml:space="preserve">  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18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17"/>
        <w:gridCol w:w="319"/>
        <w:gridCol w:w="141"/>
        <w:gridCol w:w="511"/>
        <w:gridCol w:w="1377"/>
        <w:gridCol w:w="159"/>
        <w:gridCol w:w="614"/>
        <w:gridCol w:w="174"/>
        <w:gridCol w:w="48"/>
        <w:gridCol w:w="718"/>
        <w:gridCol w:w="227"/>
        <w:gridCol w:w="635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华玺公馆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福州市仓山区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1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7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1#楼</w:t>
            </w:r>
          </w:p>
        </w:tc>
        <w:tc>
          <w:tcPr>
            <w:tcW w:w="971" w:type="dxa"/>
            <w:gridSpan w:val="3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13110.31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3#楼</w:t>
            </w: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10299.41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32.4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PT2#楼</w:t>
            </w: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478.25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30.4</w:t>
            </w: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1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971" w:type="dxa"/>
            <w:gridSpan w:val="3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4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建设单位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福州左连房地产开发有限公司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pStyle w:val="19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福州市晋安区福马路478号鼓山镇政府八层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pStyle w:val="19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pStyle w:val="19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代建单位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深化设计单位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施工单位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监理单位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部品部件生产单位</w:t>
            </w:r>
          </w:p>
        </w:tc>
        <w:tc>
          <w:tcPr>
            <w:tcW w:w="3952" w:type="dxa"/>
            <w:gridSpan w:val="8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  <w:t>福建左海科技有限公司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  <w:t>福州市晋安区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eastAsia="zh-CN"/>
              </w:rPr>
              <w:t>福兴大道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val="en-US" w:eastAsia="zh-CN"/>
              </w:rPr>
              <w:t>38号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20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/10-202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7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工程预验收，竣工验收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17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晋安</w:t>
            </w:r>
            <w:r>
              <w:rPr>
                <w:rFonts w:hint="eastAsia" w:ascii="仿宋_GB2312"/>
                <w:sz w:val="24"/>
                <w:szCs w:val="22"/>
              </w:rPr>
              <w:t>区。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本项目总建筑面积为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66259.60</w:t>
            </w:r>
            <w:r>
              <w:rPr>
                <w:rFonts w:hint="eastAsia" w:ascii="仿宋_GB2312"/>
                <w:sz w:val="24"/>
                <w:szCs w:val="22"/>
              </w:rPr>
              <w:t>㎡，计入容积率的建筑面积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为46919.49</w:t>
            </w:r>
            <w:r>
              <w:rPr>
                <w:rFonts w:hint="eastAsia" w:ascii="仿宋_GB2312"/>
                <w:sz w:val="24"/>
                <w:szCs w:val="22"/>
              </w:rPr>
              <w:t>㎡。其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中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1#、3#、PT2#楼</w:t>
            </w:r>
            <w:r>
              <w:rPr>
                <w:rFonts w:hint="eastAsia" w:ascii="仿宋_GB2312"/>
                <w:sz w:val="24"/>
                <w:szCs w:val="22"/>
              </w:rPr>
              <w:t>为装配式建筑，装配式建筑的计容面积为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23887.97</w:t>
            </w:r>
            <w:r>
              <w:rPr>
                <w:rFonts w:hint="eastAsia" w:ascii="仿宋_GB2312"/>
                <w:sz w:val="24"/>
                <w:szCs w:val="22"/>
              </w:rPr>
              <w:t>㎡，装配式建筑的比例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23887.97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/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46919.49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=</w:t>
            </w:r>
            <w:r>
              <w:rPr>
                <w:rFonts w:hint="eastAsia" w:ascii="仿宋_GB2312"/>
                <w:sz w:val="24"/>
                <w:szCs w:val="22"/>
              </w:rPr>
              <w:t>50.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91</w:t>
            </w:r>
            <w:r>
              <w:rPr>
                <w:rFonts w:hint="eastAsia" w:ascii="仿宋_GB2312"/>
                <w:sz w:val="24"/>
                <w:szCs w:val="22"/>
              </w:rPr>
              <w:t>%&gt;50%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，</w:t>
            </w:r>
            <w:r>
              <w:rPr>
                <w:rFonts w:hint="eastAsia" w:ascii="仿宋_GB2312"/>
                <w:sz w:val="24"/>
                <w:szCs w:val="22"/>
              </w:rPr>
              <w:t>结构体系：装配式混凝土结构。本项目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1#、3#楼预制构件为预制叠合板、预制楼梯、装配式内隔墙，PT2#楼主要预制构件为预制叠合板、预制内墙板</w:t>
            </w:r>
            <w:r>
              <w:rPr>
                <w:rFonts w:hint="eastAsia" w:ascii="仿宋_GB2312"/>
                <w:sz w:val="24"/>
                <w:szCs w:val="22"/>
              </w:rPr>
              <w:t>，各单体装配率均不低于50%。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本工程施工图设计文件已通过审图机构审查。审查机构：福州建功施工图审查有限公司，合格证编号:3501112302070101-TX-005。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1.1、本项目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1#、3#楼预制构件为预制叠合板、预制楼梯，PT2#楼主要预制构件为预制叠合板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33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11547.81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14262.85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81.0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31.0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9038.89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11150.39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81.1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31.1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03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PT2#楼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443.38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565.18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78.4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28.4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1#、3#楼</w:t>
            </w:r>
            <w:r>
              <w:rPr>
                <w:rFonts w:hint="eastAsia" w:ascii="仿宋_GB2312"/>
                <w:sz w:val="24"/>
                <w:szCs w:val="24"/>
              </w:rPr>
              <w:t>层高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均存在不</w:t>
            </w:r>
            <w:r>
              <w:rPr>
                <w:rFonts w:hint="eastAsia" w:ascii="仿宋_GB2312"/>
                <w:sz w:val="24"/>
                <w:szCs w:val="24"/>
              </w:rPr>
              <w:t>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-2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PT2#楼</w:t>
            </w:r>
            <w:r>
              <w:rPr>
                <w:rFonts w:hint="eastAsia" w:ascii="仿宋_GB2312"/>
                <w:sz w:val="24"/>
                <w:szCs w:val="24"/>
              </w:rPr>
              <w:t>层高符合1M基本模数整倍数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1#、3#、PT2#楼有叠合板轮廓尺寸为2920x1505的预制叠合板个数为205</w:t>
            </w:r>
            <w:r>
              <w:rPr>
                <w:rFonts w:hint="eastAsia" w:ascii="仿宋_GB2312"/>
                <w:sz w:val="24"/>
                <w:szCs w:val="24"/>
              </w:rPr>
              <w:t>，轮廓尺寸相同的预制构件个数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_GB2312"/>
                <w:sz w:val="24"/>
                <w:szCs w:val="24"/>
              </w:rPr>
              <w:t>于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00，得分均为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1#、3#楼均有预制楼梯轮廓尺寸为2740x1185的预制叠合板总个数为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80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，轮廓尺寸相同的预制构件个数大于120，得分均为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1.33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分。PT2#楼未采用预制楼梯，得分为0分。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 w:cs="Times New Roman"/>
                <w:sz w:val="24"/>
                <w:szCs w:val="22"/>
                <w:lang w:val="en-US" w:eastAsia="zh-CN"/>
              </w:rPr>
              <w:t>1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32.3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3#楼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32.4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PT2#楼</w:t>
            </w:r>
            <w:r>
              <w:rPr>
                <w:rFonts w:hint="eastAsia" w:ascii="仿宋_GB2312"/>
                <w:sz w:val="24"/>
                <w:szCs w:val="24"/>
              </w:rPr>
              <w:t>为</w:t>
            </w:r>
            <w:r>
              <w:rPr>
                <w:rFonts w:hint="eastAsia" w:ascii="仿宋_GB2312"/>
                <w:sz w:val="24"/>
                <w:szCs w:val="24"/>
                <w:u w:val="single"/>
                <w:lang w:val="en-US" w:eastAsia="zh-CN"/>
              </w:rPr>
              <w:t>30.4</w:t>
            </w:r>
            <w:r>
              <w:rPr>
                <w:rFonts w:hint="eastAsia" w:ascii="仿宋_GB2312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1#、3#、PT2#楼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3554.22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4416.23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80.48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3500.34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 xml:space="preserve">4351.05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80.45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PT2#楼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126.105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141.765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  <w:lang w:val="en-US" w:eastAsia="zh-CN"/>
                    </w:rPr>
                    <w:t>88.95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1#、3#、PT2#楼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1#、3#楼未采用全装修施工，因此此项得分为0分；PT2#楼采用全装修施工，因此此项得分为6分。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#、3#楼在施工阶段提供（详建设单位承诺函）：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根据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规定可得分6分；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PT2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#楼在施工阶段提供（详建设单位承诺函）：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根据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规定可得分</w:t>
            </w: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#、3#楼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1#、3#楼总得分均为6+2=8分，</w:t>
            </w: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PT2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#楼总得分均为</w:t>
            </w:r>
            <w:r>
              <w:rPr>
                <w:rFonts w:hint="default" w:ascii="仿宋_GB2312" w:hAnsi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17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福州左连房地产开发有限公司成立于2022年12月22日，注册地位于福建省福州市晋安区福马路478号鼓山镇政府八层877室，法定代表人为郑和。经营范围包括许可项目：房地产开发经营。（依法须经批准的项目，经相关部门批准后方可开展经营活动，具体经营项目以相关部门批准文件或许可证件为准）一般项目：非居住房地产租赁；住房租赁；物业管理；园区管理服务。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1940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/>
                <w:color w:val="FF0000"/>
                <w:sz w:val="24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  <w:gridSpan w:val="3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  <w:gridSpan w:val="6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  <w:gridSpan w:val="5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福州市</w:t>
            </w:r>
            <w:r>
              <w:rPr>
                <w:rFonts w:hint="eastAsia" w:ascii="仿宋_GB2312"/>
                <w:sz w:val="24"/>
                <w:szCs w:val="22"/>
                <w:lang w:eastAsia="zh-CN"/>
              </w:rPr>
              <w:t>晋安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区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预制叠合板、预制楼梯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1392395"/>
    <w:rsid w:val="02D811DD"/>
    <w:rsid w:val="02F03540"/>
    <w:rsid w:val="031D2852"/>
    <w:rsid w:val="034A4A3C"/>
    <w:rsid w:val="03EA356B"/>
    <w:rsid w:val="04A0038C"/>
    <w:rsid w:val="06436049"/>
    <w:rsid w:val="064E048F"/>
    <w:rsid w:val="06B77CE3"/>
    <w:rsid w:val="07AF3996"/>
    <w:rsid w:val="0A6749FB"/>
    <w:rsid w:val="0B0009AC"/>
    <w:rsid w:val="0B351918"/>
    <w:rsid w:val="0B5E54A2"/>
    <w:rsid w:val="0D8A2613"/>
    <w:rsid w:val="0E046159"/>
    <w:rsid w:val="0E861133"/>
    <w:rsid w:val="0F5F0DB0"/>
    <w:rsid w:val="11F75B8E"/>
    <w:rsid w:val="12844633"/>
    <w:rsid w:val="13D02910"/>
    <w:rsid w:val="1419679E"/>
    <w:rsid w:val="15007F26"/>
    <w:rsid w:val="15DE2356"/>
    <w:rsid w:val="1637436D"/>
    <w:rsid w:val="173A61CC"/>
    <w:rsid w:val="173A643E"/>
    <w:rsid w:val="17D31922"/>
    <w:rsid w:val="183F12A7"/>
    <w:rsid w:val="194137B9"/>
    <w:rsid w:val="1AB32AB7"/>
    <w:rsid w:val="1B8F5D21"/>
    <w:rsid w:val="1D402762"/>
    <w:rsid w:val="1DBC7663"/>
    <w:rsid w:val="1F406404"/>
    <w:rsid w:val="1F455399"/>
    <w:rsid w:val="1FA375B7"/>
    <w:rsid w:val="206C0B34"/>
    <w:rsid w:val="213F6C51"/>
    <w:rsid w:val="21CF0234"/>
    <w:rsid w:val="21FF50C2"/>
    <w:rsid w:val="29DD2F44"/>
    <w:rsid w:val="2B0A66E7"/>
    <w:rsid w:val="2C183BEE"/>
    <w:rsid w:val="2D575342"/>
    <w:rsid w:val="2D6C6407"/>
    <w:rsid w:val="2DEB633A"/>
    <w:rsid w:val="2E6D2068"/>
    <w:rsid w:val="2EE00659"/>
    <w:rsid w:val="31B07A2F"/>
    <w:rsid w:val="33DB54F7"/>
    <w:rsid w:val="34077978"/>
    <w:rsid w:val="340A7D03"/>
    <w:rsid w:val="355B1A66"/>
    <w:rsid w:val="35B352E4"/>
    <w:rsid w:val="389600D6"/>
    <w:rsid w:val="3B40040D"/>
    <w:rsid w:val="40840218"/>
    <w:rsid w:val="41907B4C"/>
    <w:rsid w:val="429A3840"/>
    <w:rsid w:val="43BB04E2"/>
    <w:rsid w:val="45955C96"/>
    <w:rsid w:val="460E1B40"/>
    <w:rsid w:val="472A7306"/>
    <w:rsid w:val="4872320E"/>
    <w:rsid w:val="48BE363A"/>
    <w:rsid w:val="49DE23E9"/>
    <w:rsid w:val="4B92518B"/>
    <w:rsid w:val="4BB94E04"/>
    <w:rsid w:val="4BD27F54"/>
    <w:rsid w:val="4DE91F83"/>
    <w:rsid w:val="4DFA6B73"/>
    <w:rsid w:val="4F5F5A51"/>
    <w:rsid w:val="4F8A6BE7"/>
    <w:rsid w:val="50DE5BD6"/>
    <w:rsid w:val="52033B01"/>
    <w:rsid w:val="520C2D5F"/>
    <w:rsid w:val="52FD70E9"/>
    <w:rsid w:val="54330A77"/>
    <w:rsid w:val="556B08A1"/>
    <w:rsid w:val="557B3A73"/>
    <w:rsid w:val="563F132A"/>
    <w:rsid w:val="59943D66"/>
    <w:rsid w:val="59C15C83"/>
    <w:rsid w:val="5AC950BE"/>
    <w:rsid w:val="5CD751C6"/>
    <w:rsid w:val="5DAC44F3"/>
    <w:rsid w:val="5FD87063"/>
    <w:rsid w:val="605E5A20"/>
    <w:rsid w:val="609F781A"/>
    <w:rsid w:val="62583A67"/>
    <w:rsid w:val="63585E5E"/>
    <w:rsid w:val="66002B3E"/>
    <w:rsid w:val="66ED4AB6"/>
    <w:rsid w:val="67466700"/>
    <w:rsid w:val="67EB3D34"/>
    <w:rsid w:val="681F4EFD"/>
    <w:rsid w:val="6A900728"/>
    <w:rsid w:val="6B7651DB"/>
    <w:rsid w:val="6BB03F7E"/>
    <w:rsid w:val="6C0377B5"/>
    <w:rsid w:val="6C574F2A"/>
    <w:rsid w:val="6CCF3746"/>
    <w:rsid w:val="6E1D39B2"/>
    <w:rsid w:val="6F2D45E9"/>
    <w:rsid w:val="6F2E4F4A"/>
    <w:rsid w:val="70A36E38"/>
    <w:rsid w:val="70B82D51"/>
    <w:rsid w:val="70CC548E"/>
    <w:rsid w:val="724B410E"/>
    <w:rsid w:val="73D0483F"/>
    <w:rsid w:val="74802012"/>
    <w:rsid w:val="74B17115"/>
    <w:rsid w:val="761A2C99"/>
    <w:rsid w:val="762F22CE"/>
    <w:rsid w:val="7A4B5CDF"/>
    <w:rsid w:val="7B0823F4"/>
    <w:rsid w:val="7B4F790E"/>
    <w:rsid w:val="7BAE6AB2"/>
    <w:rsid w:val="7C1A7CA3"/>
    <w:rsid w:val="7D8C4BD1"/>
    <w:rsid w:val="7E27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autoRedefine/>
    <w:qFormat/>
    <w:uiPriority w:val="99"/>
    <w:rPr>
      <w:color w:val="333333"/>
      <w:u w:val="none"/>
    </w:rPr>
  </w:style>
  <w:style w:type="character" w:customStyle="1" w:styleId="13">
    <w:name w:val="标题 2 Char"/>
    <w:link w:val="2"/>
    <w:autoRedefine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autoRedefine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autoRedefine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autoRedefine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13</Pages>
  <Words>2728</Words>
  <Characters>3279</Characters>
  <Paragraphs>591</Paragraphs>
  <TotalTime>1</TotalTime>
  <ScaleCrop>false</ScaleCrop>
  <LinksUpToDate>false</LinksUpToDate>
  <CharactersWithSpaces>3553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2024-04-30T06:18:00Z</cp:lastPrinted>
  <dcterms:modified xsi:type="dcterms:W3CDTF">2024-05-06T09:14:24Z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F92DE81BEF2C482D899B4E5F3E322674</vt:lpwstr>
  </property>
</Properties>
</file>