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atLeast"/>
        <w:rPr>
          <w:rFonts w:eastAsia="Times New Roman"/>
          <w:bCs/>
          <w:szCs w:val="28"/>
        </w:rPr>
      </w:pPr>
      <w:r>
        <w:rPr>
          <w:rFonts w:hint="eastAsia" w:ascii="宋体" w:hAnsi="宋体" w:eastAsia="宋体" w:cs="宋体"/>
          <w:szCs w:val="32"/>
        </w:rPr>
        <w:t>附件</w:t>
      </w:r>
      <w:r>
        <w:rPr>
          <w:rFonts w:eastAsia="Times New Roman"/>
          <w:szCs w:val="32"/>
        </w:rPr>
        <w:t>2</w:t>
      </w:r>
      <w:r>
        <w:rPr>
          <w:rFonts w:hint="eastAsia" w:ascii="宋体" w:hAnsi="宋体" w:eastAsia="宋体" w:cs="宋体"/>
          <w:szCs w:val="32"/>
        </w:rPr>
        <w:t>：</w:t>
      </w:r>
    </w:p>
    <w:p>
      <w:pPr>
        <w:spacing w:line="540" w:lineRule="exact"/>
        <w:jc w:val="center"/>
        <w:rPr>
          <w:rFonts w:hint="eastAsia" w:eastAsia="黑体"/>
          <w:bCs/>
          <w:sz w:val="44"/>
          <w:szCs w:val="44"/>
        </w:rPr>
      </w:pPr>
    </w:p>
    <w:p>
      <w:pPr>
        <w:spacing w:line="540" w:lineRule="exact"/>
        <w:jc w:val="center"/>
        <w:rPr>
          <w:rFonts w:eastAsia="黑体"/>
          <w:bCs/>
          <w:sz w:val="44"/>
          <w:szCs w:val="44"/>
        </w:rPr>
      </w:pPr>
    </w:p>
    <w:p>
      <w:pPr>
        <w:spacing w:line="540" w:lineRule="exact"/>
        <w:jc w:val="center"/>
        <w:rPr>
          <w:rFonts w:eastAsia="黑体"/>
          <w:bCs/>
          <w:sz w:val="44"/>
          <w:szCs w:val="44"/>
        </w:rPr>
      </w:pPr>
    </w:p>
    <w:p>
      <w:pPr>
        <w:spacing w:line="540" w:lineRule="exact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hAnsi="黑体" w:eastAsia="方正小标宋简体"/>
          <w:bCs/>
          <w:sz w:val="44"/>
          <w:szCs w:val="44"/>
        </w:rPr>
        <w:t>装配式建筑评价申请表</w:t>
      </w:r>
    </w:p>
    <w:p>
      <w:pPr>
        <w:spacing w:line="420" w:lineRule="exact"/>
        <w:jc w:val="center"/>
        <w:rPr>
          <w:rFonts w:hint="eastAsia"/>
          <w:b/>
          <w:szCs w:val="22"/>
        </w:rPr>
      </w:pPr>
    </w:p>
    <w:p>
      <w:pPr>
        <w:spacing w:line="420" w:lineRule="exact"/>
        <w:jc w:val="center"/>
        <w:rPr>
          <w:b/>
        </w:rPr>
      </w:pPr>
    </w:p>
    <w:p>
      <w:pPr>
        <w:spacing w:line="420" w:lineRule="exact"/>
        <w:jc w:val="center"/>
        <w:rPr>
          <w:b/>
        </w:rPr>
      </w:pPr>
    </w:p>
    <w:p>
      <w:pPr>
        <w:spacing w:line="420" w:lineRule="exact"/>
        <w:jc w:val="center"/>
        <w:rPr>
          <w:b/>
        </w:rPr>
      </w:pPr>
    </w:p>
    <w:p>
      <w:pPr>
        <w:spacing w:line="420" w:lineRule="exact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eastAsia="微软雅黑"/>
          <w:b/>
          <w:u w:val="single"/>
        </w:rPr>
      </w:pPr>
      <w:r>
        <w:rPr>
          <w:rFonts w:hint="eastAsia"/>
          <w:b/>
        </w:rPr>
        <w:t>报建编号</w:t>
      </w:r>
      <w:r>
        <w:rPr>
          <w:rFonts w:eastAsia="Times New Roman"/>
          <w:b/>
          <w:u w:val="single"/>
        </w:rPr>
        <w:t xml:space="preserve">                              </w:t>
      </w: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  <w:u w:val="single"/>
        </w:rPr>
      </w:pPr>
      <w:r>
        <w:rPr>
          <w:rFonts w:hint="eastAsia" w:hAnsi="宋体"/>
          <w:b/>
        </w:rPr>
        <w:t>项目名称</w:t>
      </w:r>
      <w:r>
        <w:rPr>
          <w:rFonts w:eastAsia="Times New Roman"/>
          <w:b/>
          <w:u w:val="single"/>
        </w:rPr>
        <w:t xml:space="preserve">     </w:t>
      </w:r>
      <w:r>
        <w:rPr>
          <w:rFonts w:hint="eastAsia" w:eastAsia="宋体"/>
          <w:b/>
          <w:u w:val="single"/>
          <w:lang w:val="en-US" w:eastAsia="zh-CN"/>
        </w:rPr>
        <w:t xml:space="preserve">  </w:t>
      </w:r>
      <w:r>
        <w:rPr>
          <w:rFonts w:hint="default" w:eastAsia="Times New Roman"/>
          <w:b/>
          <w:u w:val="single"/>
          <w:lang w:val="en-US"/>
        </w:rPr>
        <w:t xml:space="preserve"> </w:t>
      </w:r>
      <w:r>
        <w:rPr>
          <w:rFonts w:hint="eastAsia" w:eastAsia="宋体"/>
          <w:b/>
          <w:u w:val="single"/>
          <w:lang w:val="en-US" w:eastAsia="zh-CN"/>
        </w:rPr>
        <w:t xml:space="preserve">  </w:t>
      </w:r>
      <w:r>
        <w:rPr>
          <w:rFonts w:ascii="仿宋" w:hAnsi="仿宋" w:eastAsia="仿宋"/>
          <w:b/>
          <w:u w:val="single"/>
        </w:rPr>
        <w:t xml:space="preserve">  </w:t>
      </w:r>
      <w:r>
        <w:rPr>
          <w:rFonts w:hint="eastAsia" w:ascii="仿宋" w:hAnsi="仿宋" w:eastAsia="仿宋" w:cs="宋体"/>
          <w:b/>
          <w:u w:val="single"/>
          <w:lang w:val="en-US" w:eastAsia="zh-CN"/>
        </w:rPr>
        <w:t>东峦郡</w:t>
      </w:r>
      <w:r>
        <w:rPr>
          <w:rFonts w:hint="eastAsia" w:ascii="宋体" w:hAnsi="宋体" w:eastAsia="宋体" w:cs="宋体"/>
          <w:b/>
          <w:u w:val="single"/>
        </w:rPr>
        <w:t xml:space="preserve"> </w:t>
      </w:r>
      <w:r>
        <w:rPr>
          <w:rFonts w:eastAsia="Times New Roman"/>
          <w:b/>
          <w:u w:val="single"/>
        </w:rPr>
        <w:t xml:space="preserve">  </w:t>
      </w:r>
      <w:r>
        <w:rPr>
          <w:rFonts w:hint="eastAsia" w:eastAsia="宋体"/>
          <w:b/>
          <w:u w:val="single"/>
          <w:lang w:val="en-US" w:eastAsia="zh-CN"/>
        </w:rPr>
        <w:t xml:space="preserve">  </w:t>
      </w:r>
      <w:r>
        <w:rPr>
          <w:rFonts w:eastAsia="Times New Roman"/>
          <w:b/>
          <w:u w:val="single"/>
        </w:rPr>
        <w:t xml:space="preserve">  </w:t>
      </w:r>
      <w:r>
        <w:rPr>
          <w:rFonts w:hint="eastAsia" w:eastAsia="宋体"/>
          <w:b/>
          <w:u w:val="single"/>
          <w:lang w:val="en-US" w:eastAsia="zh-CN"/>
        </w:rPr>
        <w:t xml:space="preserve">  </w:t>
      </w:r>
      <w:r>
        <w:rPr>
          <w:rFonts w:eastAsia="Times New Roman"/>
          <w:b/>
          <w:u w:val="single"/>
        </w:rPr>
        <w:t xml:space="preserve">   </w:t>
      </w: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hAnsi="宋体"/>
          <w:b/>
        </w:rPr>
      </w:pPr>
      <w:r>
        <w:rPr>
          <w:rFonts w:hint="eastAsia" w:hAnsi="宋体"/>
          <w:b/>
        </w:rPr>
        <w:t>申报单位</w:t>
      </w:r>
      <w:r>
        <w:rPr>
          <w:rFonts w:eastAsia="Times New Roman"/>
          <w:b/>
          <w:u w:val="single"/>
        </w:rPr>
        <w:t xml:space="preserve"> </w:t>
      </w:r>
      <w:r>
        <w:rPr>
          <w:rFonts w:ascii="仿宋" w:hAnsi="仿宋" w:eastAsia="仿宋" w:cs="宋体"/>
          <w:b/>
          <w:u w:val="single"/>
        </w:rPr>
        <w:t xml:space="preserve"> </w:t>
      </w:r>
      <w:r>
        <w:rPr>
          <w:rFonts w:hint="eastAsia" w:ascii="仿宋" w:hAnsi="仿宋" w:eastAsia="仿宋" w:cs="宋体"/>
          <w:b/>
          <w:u w:val="single"/>
          <w:lang w:val="en-US" w:eastAsia="zh-CN"/>
        </w:rPr>
        <w:t xml:space="preserve">福州左连房地产开发有限公司 </w:t>
      </w:r>
      <w:r>
        <w:rPr>
          <w:rFonts w:eastAsia="Times New Roman"/>
          <w:b/>
          <w:u w:val="single"/>
        </w:rPr>
        <w:t xml:space="preserve"> </w:t>
      </w:r>
      <w:r>
        <w:rPr>
          <w:rFonts w:hint="eastAsia" w:hAnsi="宋体"/>
          <w:b/>
        </w:rPr>
        <w:t>（盖章）</w:t>
      </w:r>
    </w:p>
    <w:p>
      <w:pPr>
        <w:tabs>
          <w:tab w:val="left" w:pos="6580"/>
          <w:tab w:val="left" w:pos="6780"/>
        </w:tabs>
        <w:spacing w:line="360" w:lineRule="auto"/>
        <w:ind w:firstLine="1601" w:firstLineChars="500"/>
        <w:rPr>
          <w:rFonts w:eastAsia="Times New Roman"/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eastAsia="微软雅黑"/>
          <w:b/>
          <w:u w:val="single"/>
        </w:rPr>
      </w:pPr>
      <w:r>
        <w:rPr>
          <w:rFonts w:hint="eastAsia" w:hAnsi="宋体"/>
          <w:b/>
        </w:rPr>
        <w:t>主管部门</w:t>
      </w:r>
      <w:r>
        <w:rPr>
          <w:rFonts w:eastAsia="Times New Roman"/>
          <w:b/>
          <w:u w:val="single"/>
        </w:rPr>
        <w:t xml:space="preserve">   </w:t>
      </w:r>
      <w:r>
        <w:rPr>
          <w:rFonts w:hint="eastAsia" w:eastAsia="宋体"/>
          <w:b/>
          <w:u w:val="single"/>
          <w:lang w:val="en-US" w:eastAsia="zh-CN"/>
        </w:rPr>
        <w:t xml:space="preserve">   </w:t>
      </w:r>
      <w:r>
        <w:rPr>
          <w:rFonts w:eastAsia="Times New Roman"/>
          <w:b/>
          <w:u w:val="single"/>
        </w:rPr>
        <w:t xml:space="preserve"> </w:t>
      </w:r>
      <w:r>
        <w:rPr>
          <w:rFonts w:hint="eastAsia" w:ascii="仿宋" w:hAnsi="仿宋" w:eastAsia="仿宋" w:cs="宋体"/>
          <w:b/>
          <w:u w:val="single"/>
        </w:rPr>
        <w:t>福州市城乡建设局</w:t>
      </w:r>
      <w:r>
        <w:rPr>
          <w:rFonts w:eastAsia="Times New Roman"/>
          <w:b/>
          <w:u w:val="single"/>
        </w:rPr>
        <w:t xml:space="preserve"> </w:t>
      </w:r>
      <w:r>
        <w:rPr>
          <w:rFonts w:hint="eastAsia" w:eastAsia="宋体"/>
          <w:b/>
          <w:u w:val="single"/>
          <w:lang w:val="en-US" w:eastAsia="zh-CN"/>
        </w:rPr>
        <w:t xml:space="preserve"> </w:t>
      </w:r>
      <w:r>
        <w:rPr>
          <w:rFonts w:eastAsia="Times New Roman"/>
          <w:b/>
          <w:u w:val="single"/>
        </w:rPr>
        <w:t xml:space="preserve"> </w:t>
      </w:r>
      <w:r>
        <w:rPr>
          <w:rFonts w:hint="eastAsia" w:eastAsia="宋体"/>
          <w:b/>
          <w:u w:val="single"/>
          <w:lang w:val="en-US" w:eastAsia="zh-CN"/>
        </w:rPr>
        <w:t xml:space="preserve">  </w:t>
      </w:r>
      <w:r>
        <w:rPr>
          <w:rFonts w:hint="eastAsia" w:eastAsia="宋体"/>
          <w:b/>
          <w:u w:val="single"/>
        </w:rPr>
        <w:t xml:space="preserve"> </w:t>
      </w:r>
      <w:r>
        <w:rPr>
          <w:rFonts w:eastAsia="Times New Roman"/>
          <w:b/>
          <w:u w:val="single"/>
        </w:rPr>
        <w:t xml:space="preserve"> </w:t>
      </w: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b/>
        </w:rPr>
      </w:pPr>
    </w:p>
    <w:p>
      <w:pPr>
        <w:tabs>
          <w:tab w:val="left" w:pos="6580"/>
          <w:tab w:val="left" w:pos="6780"/>
        </w:tabs>
        <w:spacing w:line="360" w:lineRule="auto"/>
        <w:ind w:firstLine="1606" w:firstLineChars="500"/>
        <w:rPr>
          <w:rFonts w:eastAsia="Times New Roman"/>
          <w:b/>
        </w:rPr>
      </w:pPr>
      <w:r>
        <w:rPr>
          <w:rFonts w:hint="eastAsia" w:hAnsi="宋体"/>
          <w:b/>
        </w:rPr>
        <w:t>申报时间</w:t>
      </w:r>
      <w:r>
        <w:rPr>
          <w:rFonts w:eastAsia="Times New Roman"/>
          <w:b/>
          <w:u w:val="single"/>
        </w:rPr>
        <w:t xml:space="preserve">  </w:t>
      </w:r>
      <w:r>
        <w:rPr>
          <w:rFonts w:ascii="仿宋" w:hAnsi="仿宋" w:eastAsia="仿宋"/>
          <w:b/>
          <w:u w:val="single"/>
        </w:rPr>
        <w:t xml:space="preserve"> 202</w:t>
      </w:r>
      <w:r>
        <w:rPr>
          <w:rFonts w:hint="eastAsia" w:ascii="仿宋" w:hAnsi="仿宋" w:eastAsia="仿宋"/>
          <w:b/>
          <w:u w:val="single"/>
          <w:lang w:val="en-US" w:eastAsia="zh-CN"/>
        </w:rPr>
        <w:t>4</w:t>
      </w:r>
      <w:r>
        <w:rPr>
          <w:rFonts w:ascii="仿宋" w:hAnsi="仿宋" w:eastAsia="仿宋"/>
          <w:b/>
          <w:u w:val="single"/>
        </w:rPr>
        <w:t xml:space="preserve">  </w:t>
      </w:r>
      <w:r>
        <w:rPr>
          <w:rFonts w:hint="eastAsia" w:hAnsi="宋体"/>
          <w:b/>
        </w:rPr>
        <w:t>年</w:t>
      </w:r>
      <w:r>
        <w:rPr>
          <w:rFonts w:ascii="仿宋" w:hAnsi="仿宋" w:eastAsia="仿宋"/>
          <w:b/>
          <w:szCs w:val="22"/>
          <w:u w:val="thick"/>
        </w:rPr>
        <w:t xml:space="preserve">  </w:t>
      </w:r>
      <w:r>
        <w:rPr>
          <w:rFonts w:hint="eastAsia" w:ascii="仿宋" w:hAnsi="仿宋" w:eastAsia="仿宋"/>
          <w:b/>
          <w:szCs w:val="22"/>
          <w:u w:val="thick"/>
          <w:lang w:val="en-US" w:eastAsia="zh-CN"/>
        </w:rPr>
        <w:t xml:space="preserve"> 3</w:t>
      </w:r>
      <w:r>
        <w:rPr>
          <w:rFonts w:ascii="仿宋" w:hAnsi="仿宋" w:eastAsia="仿宋"/>
          <w:b/>
          <w:szCs w:val="22"/>
          <w:u w:val="thick"/>
        </w:rPr>
        <w:t xml:space="preserve"> </w:t>
      </w:r>
      <w:r>
        <w:rPr>
          <w:rFonts w:hint="eastAsia" w:ascii="仿宋" w:hAnsi="仿宋" w:eastAsia="仿宋"/>
          <w:b/>
          <w:szCs w:val="22"/>
          <w:u w:val="thick"/>
          <w:lang w:val="en-US" w:eastAsia="zh-CN"/>
        </w:rPr>
        <w:t xml:space="preserve"> </w:t>
      </w:r>
      <w:r>
        <w:rPr>
          <w:rFonts w:ascii="仿宋" w:hAnsi="仿宋" w:eastAsia="仿宋"/>
          <w:b/>
          <w:szCs w:val="22"/>
          <w:u w:val="thick"/>
        </w:rPr>
        <w:t xml:space="preserve"> </w:t>
      </w:r>
      <w:r>
        <w:rPr>
          <w:rFonts w:hint="eastAsia" w:hAnsi="宋体"/>
          <w:b/>
        </w:rPr>
        <w:t>月</w:t>
      </w:r>
      <w:r>
        <w:rPr>
          <w:rFonts w:ascii="仿宋" w:hAnsi="仿宋" w:eastAsia="仿宋"/>
          <w:b/>
          <w:u w:val="thick"/>
        </w:rPr>
        <w:t xml:space="preserve">  </w:t>
      </w:r>
      <w:r>
        <w:rPr>
          <w:rFonts w:hint="eastAsia" w:ascii="仿宋" w:hAnsi="仿宋" w:eastAsia="仿宋"/>
          <w:b/>
          <w:u w:val="thick"/>
        </w:rPr>
        <w:t xml:space="preserve"> </w:t>
      </w:r>
      <w:r>
        <w:rPr>
          <w:rFonts w:hint="eastAsia" w:ascii="仿宋" w:hAnsi="仿宋" w:eastAsia="仿宋"/>
          <w:b/>
          <w:u w:val="thick"/>
          <w:lang w:val="en-US" w:eastAsia="zh-CN"/>
        </w:rPr>
        <w:t>15</w:t>
      </w:r>
      <w:r>
        <w:rPr>
          <w:rFonts w:ascii="仿宋" w:hAnsi="仿宋" w:eastAsia="仿宋"/>
          <w:b/>
          <w:u w:val="thick"/>
        </w:rPr>
        <w:t xml:space="preserve">  </w:t>
      </w:r>
      <w:r>
        <w:rPr>
          <w:rFonts w:hint="eastAsia" w:hAnsi="宋体"/>
          <w:b/>
        </w:rPr>
        <w:t>日</w:t>
      </w:r>
    </w:p>
    <w:p>
      <w:pPr>
        <w:tabs>
          <w:tab w:val="left" w:pos="6580"/>
          <w:tab w:val="left" w:pos="6780"/>
        </w:tabs>
        <w:spacing w:line="420" w:lineRule="exact"/>
        <w:ind w:firstLine="1348" w:firstLineChars="421"/>
        <w:rPr>
          <w:rFonts w:eastAsia="Times New Roman"/>
          <w:b/>
        </w:rPr>
      </w:pPr>
    </w:p>
    <w:p>
      <w:pPr>
        <w:tabs>
          <w:tab w:val="left" w:pos="6580"/>
          <w:tab w:val="left" w:pos="6780"/>
        </w:tabs>
        <w:rPr>
          <w:rFonts w:eastAsia="Times New Roman"/>
          <w:b/>
        </w:rPr>
      </w:pPr>
    </w:p>
    <w:p>
      <w:pPr>
        <w:tabs>
          <w:tab w:val="left" w:pos="6580"/>
          <w:tab w:val="left" w:pos="6780"/>
        </w:tabs>
        <w:rPr>
          <w:rFonts w:eastAsia="Times New Roman"/>
          <w:b/>
        </w:rPr>
      </w:pPr>
    </w:p>
    <w:p>
      <w:pPr>
        <w:spacing w:line="540" w:lineRule="exact"/>
        <w:rPr>
          <w:rFonts w:eastAsia="Times New Roman"/>
          <w:bCs/>
          <w:sz w:val="44"/>
        </w:rPr>
      </w:pPr>
    </w:p>
    <w:p>
      <w:pPr>
        <w:spacing w:line="540" w:lineRule="exact"/>
        <w:rPr>
          <w:rFonts w:eastAsia="等线"/>
          <w:bCs/>
          <w:sz w:val="44"/>
        </w:rPr>
      </w:pPr>
    </w:p>
    <w:p>
      <w:pPr>
        <w:spacing w:line="540" w:lineRule="exact"/>
        <w:rPr>
          <w:rFonts w:eastAsia="等线"/>
          <w:bCs/>
          <w:sz w:val="44"/>
        </w:rPr>
      </w:pPr>
    </w:p>
    <w:p>
      <w:pPr>
        <w:spacing w:line="540" w:lineRule="exact"/>
        <w:rPr>
          <w:rFonts w:eastAsia="等线"/>
          <w:bCs/>
          <w:sz w:val="44"/>
        </w:rPr>
      </w:pPr>
    </w:p>
    <w:p>
      <w:pPr>
        <w:spacing w:line="540" w:lineRule="exact"/>
        <w:rPr>
          <w:rFonts w:hint="eastAsia" w:ascii="黑体" w:hAnsi="黑体" w:eastAsia="等线" w:cs="黑体"/>
          <w:bCs/>
          <w:sz w:val="44"/>
        </w:rPr>
      </w:pPr>
    </w:p>
    <w:p>
      <w:pPr>
        <w:spacing w:line="440" w:lineRule="atLeast"/>
        <w:jc w:val="center"/>
        <w:rPr>
          <w:rFonts w:ascii="黑体" w:hAnsi="黑体" w:eastAsia="黑体" w:cs="黑体"/>
          <w:bCs/>
          <w:sz w:val="44"/>
        </w:rPr>
      </w:pPr>
      <w:r>
        <w:rPr>
          <w:rFonts w:hint="eastAsia" w:ascii="黑体" w:hAnsi="黑体" w:eastAsia="黑体" w:cs="黑体"/>
          <w:bCs/>
          <w:sz w:val="44"/>
        </w:rPr>
        <w:t>填写说明</w:t>
      </w:r>
    </w:p>
    <w:p>
      <w:pPr>
        <w:spacing w:line="440" w:lineRule="atLeast"/>
        <w:jc w:val="center"/>
        <w:rPr>
          <w:rFonts w:ascii="黑体" w:hAnsi="黑体" w:eastAsia="黑体" w:cs="黑体"/>
          <w:bCs/>
          <w:sz w:val="44"/>
        </w:rPr>
      </w:pP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/>
          <w:szCs w:val="32"/>
        </w:rPr>
        <w:t>1</w:t>
      </w:r>
      <w:r>
        <w:rPr>
          <w:rFonts w:hint="eastAsia" w:ascii="仿宋_GB2312" w:hAnsi="仿宋_GB2312" w:cs="仿宋_GB2312"/>
          <w:szCs w:val="32"/>
        </w:rPr>
        <w:t>、申报表一律采用小四号仿宋字体填写，以</w:t>
      </w:r>
      <w:r>
        <w:rPr>
          <w:rFonts w:ascii="仿宋_GB2312" w:hAnsi="仿宋_GB2312" w:cs="仿宋_GB2312"/>
          <w:szCs w:val="32"/>
        </w:rPr>
        <w:t>A4</w:t>
      </w:r>
      <w:r>
        <w:rPr>
          <w:rFonts w:hint="eastAsia" w:ascii="仿宋_GB2312" w:hAnsi="仿宋_GB2312" w:cs="仿宋_GB2312"/>
          <w:szCs w:val="32"/>
        </w:rPr>
        <w:t>纸打印，一式四份。</w:t>
      </w: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/>
          <w:szCs w:val="32"/>
        </w:rPr>
        <w:t>2</w:t>
      </w:r>
      <w:r>
        <w:rPr>
          <w:rFonts w:hint="eastAsia" w:ascii="仿宋_GB2312" w:hAnsi="仿宋_GB2312" w:cs="仿宋_GB2312"/>
          <w:szCs w:val="32"/>
        </w:rPr>
        <w:t>、申报表封面的“项目名称”与施工许可证的“工程名称”应一致。</w:t>
      </w: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/>
          <w:szCs w:val="32"/>
        </w:rPr>
        <w:t>3</w:t>
      </w:r>
      <w:r>
        <w:rPr>
          <w:rFonts w:hint="eastAsia" w:ascii="仿宋_GB2312" w:hAnsi="仿宋_GB2312" w:cs="仿宋_GB2312"/>
          <w:szCs w:val="32"/>
        </w:rPr>
        <w:t>、项目涉及的设计、施工、监理、部品部件生产单位暂未确定的填写“未确定”。</w:t>
      </w: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</w:p>
    <w:p>
      <w:pPr>
        <w:spacing w:line="360" w:lineRule="auto"/>
        <w:ind w:firstLine="640" w:firstLineChars="200"/>
        <w:rPr>
          <w:rFonts w:ascii="仿宋_GB2312" w:hAnsi="仿宋_GB2312" w:cs="仿宋_GB2312"/>
          <w:szCs w:val="32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ascii="仿宋_GB2312" w:hAnsi="仿宋_GB2312" w:cs="仿宋_GB2312"/>
          <w:sz w:val="30"/>
        </w:rPr>
      </w:pPr>
    </w:p>
    <w:p>
      <w:pPr>
        <w:spacing w:line="240" w:lineRule="atLeast"/>
        <w:rPr>
          <w:rFonts w:hint="eastAsia" w:ascii="仿宋_GB2312" w:hAnsi="仿宋_GB2312" w:cs="仿宋_GB2312"/>
          <w:sz w:val="30"/>
        </w:rPr>
      </w:pPr>
    </w:p>
    <w:tbl>
      <w:tblPr>
        <w:tblStyle w:val="8"/>
        <w:tblW w:w="94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852"/>
        <w:gridCol w:w="425"/>
        <w:gridCol w:w="511"/>
        <w:gridCol w:w="1375"/>
        <w:gridCol w:w="2"/>
        <w:gridCol w:w="159"/>
        <w:gridCol w:w="614"/>
        <w:gridCol w:w="1"/>
        <w:gridCol w:w="173"/>
        <w:gridCol w:w="48"/>
        <w:gridCol w:w="718"/>
        <w:gridCol w:w="862"/>
        <w:gridCol w:w="1066"/>
        <w:gridCol w:w="114"/>
        <w:gridCol w:w="1020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64" w:type="dxa"/>
            <w:gridSpan w:val="17"/>
          </w:tcPr>
          <w:p>
            <w:pPr>
              <w:spacing w:line="560" w:lineRule="exact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b/>
                <w:bCs/>
                <w:sz w:val="30"/>
                <w:szCs w:val="30"/>
              </w:rPr>
              <w:t>一、项目基本情况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建筑类型</w:t>
            </w:r>
          </w:p>
        </w:tc>
        <w:tc>
          <w:tcPr>
            <w:tcW w:w="7144" w:type="dxa"/>
            <w:gridSpan w:val="13"/>
            <w:vAlign w:val="center"/>
          </w:tcPr>
          <w:p>
            <w:pPr>
              <w:spacing w:line="560" w:lineRule="exact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MS Mincho" w:hAnsi="MS Mincho" w:eastAsia="宋体" w:cs="MS Mincho"/>
                <w:sz w:val="24"/>
                <w:lang w:eastAsia="zh-CN"/>
              </w:rPr>
              <w:t>☑</w:t>
            </w:r>
            <w:r>
              <w:rPr>
                <w:rFonts w:hint="eastAsia" w:ascii="宋体" w:hAnsi="宋体" w:eastAsia="宋体" w:cs="宋体"/>
                <w:sz w:val="24"/>
              </w:rPr>
              <w:t xml:space="preserve">居住建筑    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4"/>
              </w:rPr>
              <w:t>公共建筑    □其他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4"/>
              </w:rPr>
              <w:t>（选项打</w:t>
            </w:r>
            <w:r>
              <w:rPr>
                <w:rFonts w:hint="eastAsia" w:ascii="MS Mincho" w:hAnsi="MS Mincho" w:eastAsia="MS Mincho" w:cs="MS Mincho"/>
                <w:sz w:val="24"/>
              </w:rPr>
              <w:t>☑</w:t>
            </w:r>
            <w:r>
              <w:rPr>
                <w:rFonts w:hint="eastAsia" w:ascii="宋体" w:hAnsi="宋体" w:eastAsia="宋体" w:cs="宋体"/>
                <w:sz w:val="24"/>
              </w:rPr>
              <w:t>，下同）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申请评价阶段</w:t>
            </w:r>
          </w:p>
        </w:tc>
        <w:tc>
          <w:tcPr>
            <w:tcW w:w="7144" w:type="dxa"/>
            <w:gridSpan w:val="13"/>
            <w:vAlign w:val="center"/>
          </w:tcPr>
          <w:p>
            <w:pPr>
              <w:spacing w:line="560" w:lineRule="exact"/>
              <w:rPr>
                <w:rFonts w:hint="eastAsia" w:ascii="宋体" w:hAnsi="宋体" w:eastAsia="宋体" w:cs="宋体"/>
                <w:sz w:val="30"/>
              </w:rPr>
            </w:pPr>
            <w:r>
              <w:rPr>
                <w:rFonts w:hint="eastAsia" w:ascii="MS Mincho" w:hAnsi="MS Mincho" w:eastAsia="MS Mincho" w:cs="MS Mincho"/>
                <w:sz w:val="24"/>
              </w:rPr>
              <w:t>☑</w:t>
            </w:r>
            <w:r>
              <w:rPr>
                <w:rFonts w:hint="eastAsia" w:ascii="宋体" w:hAnsi="宋体" w:eastAsia="宋体" w:cs="宋体"/>
                <w:sz w:val="24"/>
              </w:rPr>
              <w:t>设计阶段预评价            □施工阶段评价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7144" w:type="dxa"/>
            <w:gridSpan w:val="1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宋体"/>
                <w:sz w:val="24"/>
                <w:lang w:eastAsia="zh-CN"/>
              </w:rPr>
            </w:pPr>
            <w:r>
              <w:rPr>
                <w:rFonts w:hint="eastAsia" w:ascii="仿宋" w:hAnsi="仿宋" w:eastAsia="仿宋" w:cs="宋体"/>
                <w:sz w:val="24"/>
                <w:lang w:val="en-US" w:eastAsia="zh-CN"/>
              </w:rPr>
              <w:t>东峦郡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项目所在地</w:t>
            </w:r>
          </w:p>
        </w:tc>
        <w:tc>
          <w:tcPr>
            <w:tcW w:w="7144" w:type="dxa"/>
            <w:gridSpan w:val="1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  <w:lang w:val="en-US" w:eastAsia="zh-CN"/>
              </w:rPr>
              <w:t>福州市晋安区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实施装配式建造情况</w:t>
            </w:r>
          </w:p>
        </w:tc>
        <w:tc>
          <w:tcPr>
            <w:tcW w:w="852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装配式建筑栋号</w:t>
            </w:r>
          </w:p>
        </w:tc>
        <w:tc>
          <w:tcPr>
            <w:tcW w:w="93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结构类型</w:t>
            </w:r>
          </w:p>
        </w:tc>
        <w:tc>
          <w:tcPr>
            <w:tcW w:w="137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计容面积（m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perscript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）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主体结构Q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bscript"/>
              </w:rPr>
              <w:t>1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  <w:tc>
          <w:tcPr>
            <w:tcW w:w="94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围护墙和内隔墙Q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  <w:tc>
          <w:tcPr>
            <w:tcW w:w="862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装修与设备管线Q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bscript"/>
              </w:rPr>
              <w:t>3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  <w:tc>
          <w:tcPr>
            <w:tcW w:w="1066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技术创新Q</w:t>
            </w:r>
            <w:r>
              <w:rPr>
                <w:rFonts w:hint="eastAsia" w:ascii="宋体" w:hAnsi="宋体" w:eastAsia="宋体" w:cs="宋体"/>
                <w:sz w:val="18"/>
                <w:szCs w:val="18"/>
                <w:vertAlign w:val="subscript"/>
              </w:rPr>
              <w:t>4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得分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单体建筑装配率（%）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评价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53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1#楼</w:t>
            </w:r>
          </w:p>
        </w:tc>
        <w:tc>
          <w:tcPr>
            <w:tcW w:w="936" w:type="dxa"/>
            <w:gridSpan w:val="2"/>
            <w:vMerge w:val="restart"/>
            <w:vAlign w:val="center"/>
          </w:tcPr>
          <w:p>
            <w:pPr>
              <w:spacing w:line="24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MS Mincho" w:hAnsi="MS Mincho" w:eastAsia="宋体" w:cs="MS Mincho"/>
                <w:sz w:val="24"/>
              </w:rPr>
              <w:sym w:font="Wingdings 2" w:char="0052"/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装配式混凝土建筑</w:t>
            </w:r>
          </w:p>
          <w:p>
            <w:pPr>
              <w:spacing w:line="240" w:lineRule="exact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□装配式钢结构建筑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□装配式木结构建筑</w:t>
            </w:r>
          </w:p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default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□装配式混合结构建筑</w:t>
            </w:r>
          </w:p>
        </w:tc>
        <w:tc>
          <w:tcPr>
            <w:tcW w:w="137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9744.98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32.2</w:t>
            </w:r>
          </w:p>
        </w:tc>
        <w:tc>
          <w:tcPr>
            <w:tcW w:w="94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10</w:t>
            </w:r>
          </w:p>
        </w:tc>
        <w:tc>
          <w:tcPr>
            <w:tcW w:w="86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06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53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  <w:lang w:val="en-US" w:eastAsia="zh-CN"/>
              </w:rPr>
              <w:t>2#、2-1#、2-2#楼</w:t>
            </w:r>
          </w:p>
        </w:tc>
        <w:tc>
          <w:tcPr>
            <w:tcW w:w="936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7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9674.02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32.2</w:t>
            </w:r>
          </w:p>
        </w:tc>
        <w:tc>
          <w:tcPr>
            <w:tcW w:w="94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10</w:t>
            </w:r>
          </w:p>
        </w:tc>
        <w:tc>
          <w:tcPr>
            <w:tcW w:w="86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06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53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  <w:lang w:val="en-US" w:eastAsia="zh-CN"/>
              </w:rPr>
              <w:t>3#、3-1#楼</w:t>
            </w:r>
          </w:p>
        </w:tc>
        <w:tc>
          <w:tcPr>
            <w:tcW w:w="936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7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13985.17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32.7</w:t>
            </w:r>
          </w:p>
        </w:tc>
        <w:tc>
          <w:tcPr>
            <w:tcW w:w="94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10</w:t>
            </w:r>
          </w:p>
        </w:tc>
        <w:tc>
          <w:tcPr>
            <w:tcW w:w="86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06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53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5#楼</w:t>
            </w:r>
          </w:p>
        </w:tc>
        <w:tc>
          <w:tcPr>
            <w:tcW w:w="936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7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  <w:t>10259.35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32.3</w:t>
            </w:r>
          </w:p>
        </w:tc>
        <w:tc>
          <w:tcPr>
            <w:tcW w:w="94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10</w:t>
            </w:r>
          </w:p>
        </w:tc>
        <w:tc>
          <w:tcPr>
            <w:tcW w:w="86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06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53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6#楼</w:t>
            </w:r>
          </w:p>
        </w:tc>
        <w:tc>
          <w:tcPr>
            <w:tcW w:w="936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7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15617 72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32.5</w:t>
            </w:r>
          </w:p>
        </w:tc>
        <w:tc>
          <w:tcPr>
            <w:tcW w:w="94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10</w:t>
            </w:r>
          </w:p>
        </w:tc>
        <w:tc>
          <w:tcPr>
            <w:tcW w:w="86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06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53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8#楼</w:t>
            </w:r>
          </w:p>
        </w:tc>
        <w:tc>
          <w:tcPr>
            <w:tcW w:w="936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7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12878.80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33.4</w:t>
            </w:r>
          </w:p>
        </w:tc>
        <w:tc>
          <w:tcPr>
            <w:tcW w:w="94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10</w:t>
            </w:r>
          </w:p>
        </w:tc>
        <w:tc>
          <w:tcPr>
            <w:tcW w:w="86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06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53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12#楼</w:t>
            </w:r>
          </w:p>
        </w:tc>
        <w:tc>
          <w:tcPr>
            <w:tcW w:w="936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7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9311.30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33.3</w:t>
            </w:r>
          </w:p>
        </w:tc>
        <w:tc>
          <w:tcPr>
            <w:tcW w:w="94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10</w:t>
            </w:r>
          </w:p>
        </w:tc>
        <w:tc>
          <w:tcPr>
            <w:tcW w:w="86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06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53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13#楼</w:t>
            </w:r>
          </w:p>
        </w:tc>
        <w:tc>
          <w:tcPr>
            <w:tcW w:w="936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7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9348.54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33.3</w:t>
            </w:r>
          </w:p>
        </w:tc>
        <w:tc>
          <w:tcPr>
            <w:tcW w:w="94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10</w:t>
            </w:r>
          </w:p>
        </w:tc>
        <w:tc>
          <w:tcPr>
            <w:tcW w:w="86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06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53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18#楼</w:t>
            </w:r>
          </w:p>
        </w:tc>
        <w:tc>
          <w:tcPr>
            <w:tcW w:w="936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7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9745.43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32.3</w:t>
            </w:r>
          </w:p>
        </w:tc>
        <w:tc>
          <w:tcPr>
            <w:tcW w:w="94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10</w:t>
            </w:r>
          </w:p>
        </w:tc>
        <w:tc>
          <w:tcPr>
            <w:tcW w:w="86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06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53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20#楼</w:t>
            </w:r>
          </w:p>
        </w:tc>
        <w:tc>
          <w:tcPr>
            <w:tcW w:w="936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7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15636.87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32.5</w:t>
            </w:r>
          </w:p>
        </w:tc>
        <w:tc>
          <w:tcPr>
            <w:tcW w:w="94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10</w:t>
            </w:r>
          </w:p>
        </w:tc>
        <w:tc>
          <w:tcPr>
            <w:tcW w:w="86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06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53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23#楼</w:t>
            </w:r>
          </w:p>
        </w:tc>
        <w:tc>
          <w:tcPr>
            <w:tcW w:w="936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7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10123.10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32.8</w:t>
            </w:r>
          </w:p>
        </w:tc>
        <w:tc>
          <w:tcPr>
            <w:tcW w:w="94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10</w:t>
            </w:r>
          </w:p>
        </w:tc>
        <w:tc>
          <w:tcPr>
            <w:tcW w:w="86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06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53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25#楼</w:t>
            </w:r>
          </w:p>
        </w:tc>
        <w:tc>
          <w:tcPr>
            <w:tcW w:w="936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7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9744.99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32.3</w:t>
            </w:r>
          </w:p>
        </w:tc>
        <w:tc>
          <w:tcPr>
            <w:tcW w:w="94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10</w:t>
            </w:r>
          </w:p>
        </w:tc>
        <w:tc>
          <w:tcPr>
            <w:tcW w:w="86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06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532" w:type="dxa"/>
            <w:vMerge w:val="continue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宋体"/>
                <w:sz w:val="21"/>
                <w:szCs w:val="21"/>
                <w:lang w:val="en-US" w:eastAsia="zh-CN"/>
              </w:rPr>
              <w:t>PT1#楼</w:t>
            </w:r>
          </w:p>
        </w:tc>
        <w:tc>
          <w:tcPr>
            <w:tcW w:w="936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7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2042.56</w:t>
            </w:r>
          </w:p>
        </w:tc>
        <w:tc>
          <w:tcPr>
            <w:tcW w:w="7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32.8</w:t>
            </w:r>
          </w:p>
        </w:tc>
        <w:tc>
          <w:tcPr>
            <w:tcW w:w="940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10</w:t>
            </w:r>
          </w:p>
        </w:tc>
        <w:tc>
          <w:tcPr>
            <w:tcW w:w="86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06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FF0000"/>
                <w:sz w:val="30"/>
              </w:rPr>
            </w:pPr>
            <w:r>
              <w:rPr>
                <w:rFonts w:hint="eastAsia"/>
                <w:b/>
                <w:bCs/>
                <w:color w:val="FF0000"/>
                <w:sz w:val="24"/>
              </w:rPr>
              <w:t>建设单位</w:t>
            </w:r>
          </w:p>
        </w:tc>
        <w:tc>
          <w:tcPr>
            <w:tcW w:w="3952" w:type="dxa"/>
            <w:gridSpan w:val="9"/>
            <w:vAlign w:val="top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  <w:t>福州左连房地产开发有限公司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  <w:t>传真</w:t>
            </w:r>
          </w:p>
        </w:tc>
        <w:tc>
          <w:tcPr>
            <w:tcW w:w="2012" w:type="dxa"/>
            <w:gridSpan w:val="2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FF0000"/>
                <w:sz w:val="30"/>
              </w:rPr>
            </w:pPr>
            <w:r>
              <w:rPr>
                <w:rFonts w:hint="eastAsia"/>
                <w:color w:val="FF0000"/>
                <w:sz w:val="24"/>
              </w:rPr>
              <w:t>通讯地址</w:t>
            </w:r>
          </w:p>
        </w:tc>
        <w:tc>
          <w:tcPr>
            <w:tcW w:w="3952" w:type="dxa"/>
            <w:gridSpan w:val="9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  <w:t>福建省福州市晋安区福马路478号鼓山镇政府八层877室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邮编</w:t>
            </w:r>
          </w:p>
        </w:tc>
        <w:tc>
          <w:tcPr>
            <w:tcW w:w="2012" w:type="dxa"/>
            <w:gridSpan w:val="2"/>
            <w:vAlign w:val="top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350011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FF0000"/>
                <w:sz w:val="30"/>
              </w:rPr>
            </w:pPr>
            <w:r>
              <w:rPr>
                <w:rFonts w:hint="eastAsia"/>
                <w:color w:val="FF0000"/>
                <w:sz w:val="24"/>
              </w:rPr>
              <w:t>负责人</w:t>
            </w:r>
          </w:p>
        </w:tc>
        <w:tc>
          <w:tcPr>
            <w:tcW w:w="137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77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color w:val="FF0000"/>
                <w:sz w:val="24"/>
                <w:szCs w:val="24"/>
              </w:rPr>
              <w:t>电话</w:t>
            </w:r>
          </w:p>
        </w:tc>
        <w:tc>
          <w:tcPr>
            <w:tcW w:w="1801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FF0000"/>
                <w:sz w:val="30"/>
              </w:rPr>
            </w:pPr>
            <w:r>
              <w:rPr>
                <w:rFonts w:hint="eastAsia"/>
                <w:color w:val="FF0000"/>
                <w:sz w:val="24"/>
              </w:rPr>
              <w:t>联系人</w:t>
            </w:r>
          </w:p>
        </w:tc>
        <w:tc>
          <w:tcPr>
            <w:tcW w:w="1375" w:type="dxa"/>
            <w:vAlign w:val="top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776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电话</w:t>
            </w:r>
          </w:p>
        </w:tc>
        <w:tc>
          <w:tcPr>
            <w:tcW w:w="1801" w:type="dxa"/>
            <w:gridSpan w:val="4"/>
            <w:vAlign w:val="top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FF0000"/>
                <w:sz w:val="24"/>
                <w:szCs w:val="24"/>
              </w:rPr>
              <w:t>手机</w:t>
            </w:r>
          </w:p>
        </w:tc>
        <w:tc>
          <w:tcPr>
            <w:tcW w:w="2012" w:type="dxa"/>
            <w:gridSpan w:val="2"/>
            <w:vAlign w:val="top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color w:val="FF0000"/>
                <w:kern w:val="2"/>
                <w:sz w:val="24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  <w:sz w:val="24"/>
              </w:rPr>
              <w:t>代建单位</w:t>
            </w:r>
          </w:p>
        </w:tc>
        <w:tc>
          <w:tcPr>
            <w:tcW w:w="3952" w:type="dxa"/>
            <w:gridSpan w:val="9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传真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30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通讯地址</w:t>
            </w:r>
          </w:p>
        </w:tc>
        <w:tc>
          <w:tcPr>
            <w:tcW w:w="3952" w:type="dxa"/>
            <w:gridSpan w:val="9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负责人</w:t>
            </w:r>
          </w:p>
        </w:tc>
        <w:tc>
          <w:tcPr>
            <w:tcW w:w="137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947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电话</w:t>
            </w:r>
          </w:p>
        </w:tc>
        <w:tc>
          <w:tcPr>
            <w:tcW w:w="1628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联系人</w:t>
            </w:r>
          </w:p>
        </w:tc>
        <w:tc>
          <w:tcPr>
            <w:tcW w:w="1377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947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电话</w:t>
            </w:r>
          </w:p>
        </w:tc>
        <w:tc>
          <w:tcPr>
            <w:tcW w:w="1628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color w:val="FF0000"/>
                <w:sz w:val="24"/>
                <w:lang w:eastAsia="zh-CN"/>
              </w:rPr>
              <w:t>设计单位</w:t>
            </w:r>
          </w:p>
        </w:tc>
        <w:tc>
          <w:tcPr>
            <w:tcW w:w="3952" w:type="dxa"/>
            <w:gridSpan w:val="9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福州工业园区开发集团有限公司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传真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color w:val="FF0000"/>
                <w:sz w:val="30"/>
              </w:rPr>
            </w:pPr>
            <w:r>
              <w:rPr>
                <w:rFonts w:hint="eastAsia"/>
                <w:color w:val="FF0000"/>
                <w:sz w:val="24"/>
              </w:rPr>
              <w:t>通讯地址</w:t>
            </w:r>
          </w:p>
        </w:tc>
        <w:tc>
          <w:tcPr>
            <w:tcW w:w="3952" w:type="dxa"/>
            <w:gridSpan w:val="9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default" w:ascii="仿宋" w:hAnsi="仿宋" w:eastAsia="仿宋"/>
                <w:color w:val="FF0000"/>
                <w:kern w:val="2"/>
                <w:sz w:val="24"/>
                <w:lang w:val="en-US" w:eastAsia="zh-CN" w:bidi="ar-SA"/>
              </w:rPr>
              <w:t>福州市晋安区鼓山镇福新东路185-1号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350000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负责人</w:t>
            </w:r>
          </w:p>
        </w:tc>
        <w:tc>
          <w:tcPr>
            <w:tcW w:w="153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</w:p>
        </w:tc>
        <w:tc>
          <w:tcPr>
            <w:tcW w:w="83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电话</w:t>
            </w:r>
          </w:p>
        </w:tc>
        <w:tc>
          <w:tcPr>
            <w:tcW w:w="158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FF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联系人</w:t>
            </w:r>
          </w:p>
        </w:tc>
        <w:tc>
          <w:tcPr>
            <w:tcW w:w="153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</w:p>
        </w:tc>
        <w:tc>
          <w:tcPr>
            <w:tcW w:w="836" w:type="dxa"/>
            <w:gridSpan w:val="4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电话</w:t>
            </w:r>
          </w:p>
        </w:tc>
        <w:tc>
          <w:tcPr>
            <w:tcW w:w="158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FF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  <w:sz w:val="24"/>
              </w:rPr>
              <w:t>深化设计单位</w:t>
            </w:r>
          </w:p>
        </w:tc>
        <w:tc>
          <w:tcPr>
            <w:tcW w:w="3952" w:type="dxa"/>
            <w:gridSpan w:val="9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福州工业园区开发集团有限公司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传真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宋体"/>
                <w:color w:val="FF0000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通讯地址</w:t>
            </w:r>
          </w:p>
        </w:tc>
        <w:tc>
          <w:tcPr>
            <w:tcW w:w="3952" w:type="dxa"/>
            <w:gridSpan w:val="9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default" w:ascii="仿宋" w:hAnsi="仿宋" w:eastAsia="仿宋"/>
                <w:color w:val="FF0000"/>
                <w:kern w:val="2"/>
                <w:sz w:val="24"/>
                <w:lang w:val="en-US" w:eastAsia="zh-CN" w:bidi="ar-SA"/>
              </w:rPr>
              <w:t>福州市晋安区鼓山镇福新东路185-1号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3500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负责人</w:t>
            </w:r>
          </w:p>
        </w:tc>
        <w:tc>
          <w:tcPr>
            <w:tcW w:w="153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</w:p>
        </w:tc>
        <w:tc>
          <w:tcPr>
            <w:tcW w:w="836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电话</w:t>
            </w:r>
          </w:p>
        </w:tc>
        <w:tc>
          <w:tcPr>
            <w:tcW w:w="15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宋体"/>
                <w:color w:val="FF0000"/>
                <w:sz w:val="24"/>
                <w:szCs w:val="24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联系人</w:t>
            </w:r>
          </w:p>
        </w:tc>
        <w:tc>
          <w:tcPr>
            <w:tcW w:w="1536" w:type="dxa"/>
            <w:gridSpan w:val="3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</w:p>
        </w:tc>
        <w:tc>
          <w:tcPr>
            <w:tcW w:w="836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电话</w:t>
            </w:r>
          </w:p>
        </w:tc>
        <w:tc>
          <w:tcPr>
            <w:tcW w:w="15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宋体"/>
                <w:color w:val="FF0000"/>
                <w:sz w:val="24"/>
                <w:szCs w:val="24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b/>
                <w:bCs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b/>
                <w:bCs/>
                <w:color w:val="FF0000"/>
                <w:sz w:val="24"/>
              </w:rPr>
              <w:t>施工单位</w:t>
            </w:r>
          </w:p>
        </w:tc>
        <w:tc>
          <w:tcPr>
            <w:tcW w:w="3952" w:type="dxa"/>
            <w:gridSpan w:val="9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传真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color w:val="FF0000"/>
                <w:sz w:val="24"/>
              </w:rPr>
              <w:t>通讯地址</w:t>
            </w:r>
          </w:p>
        </w:tc>
        <w:tc>
          <w:tcPr>
            <w:tcW w:w="3952" w:type="dxa"/>
            <w:gridSpan w:val="9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color w:val="FF0000"/>
                <w:sz w:val="24"/>
              </w:rPr>
              <w:t>负责人</w:t>
            </w:r>
          </w:p>
        </w:tc>
        <w:tc>
          <w:tcPr>
            <w:tcW w:w="15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836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电话</w:t>
            </w:r>
          </w:p>
        </w:tc>
        <w:tc>
          <w:tcPr>
            <w:tcW w:w="15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eastAsia="仿宋_GB2312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/>
                <w:color w:val="FF0000"/>
                <w:sz w:val="24"/>
              </w:rPr>
              <w:t>联系人</w:t>
            </w:r>
          </w:p>
        </w:tc>
        <w:tc>
          <w:tcPr>
            <w:tcW w:w="15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836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电话</w:t>
            </w:r>
          </w:p>
        </w:tc>
        <w:tc>
          <w:tcPr>
            <w:tcW w:w="15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  <w:sz w:val="24"/>
              </w:rPr>
              <w:t>监理单位</w:t>
            </w:r>
          </w:p>
        </w:tc>
        <w:tc>
          <w:tcPr>
            <w:tcW w:w="3952" w:type="dxa"/>
            <w:gridSpan w:val="9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传真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通讯地址</w:t>
            </w:r>
          </w:p>
        </w:tc>
        <w:tc>
          <w:tcPr>
            <w:tcW w:w="3952" w:type="dxa"/>
            <w:gridSpan w:val="9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240" w:lineRule="auto"/>
              <w:jc w:val="center"/>
              <w:rPr>
                <w:rFonts w:hint="default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负责人</w:t>
            </w:r>
          </w:p>
        </w:tc>
        <w:tc>
          <w:tcPr>
            <w:tcW w:w="15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836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电话</w:t>
            </w:r>
          </w:p>
        </w:tc>
        <w:tc>
          <w:tcPr>
            <w:tcW w:w="15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联系人</w:t>
            </w:r>
          </w:p>
        </w:tc>
        <w:tc>
          <w:tcPr>
            <w:tcW w:w="15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836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电话</w:t>
            </w:r>
          </w:p>
        </w:tc>
        <w:tc>
          <w:tcPr>
            <w:tcW w:w="15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b/>
                <w:bCs/>
                <w:color w:val="FF0000"/>
                <w:sz w:val="24"/>
              </w:rPr>
            </w:pPr>
            <w:r>
              <w:rPr>
                <w:rFonts w:hint="eastAsia"/>
                <w:b/>
                <w:bCs/>
                <w:color w:val="FF0000"/>
                <w:sz w:val="24"/>
              </w:rPr>
              <w:t>部品部件生产单位</w:t>
            </w:r>
          </w:p>
        </w:tc>
        <w:tc>
          <w:tcPr>
            <w:tcW w:w="3952" w:type="dxa"/>
            <w:gridSpan w:val="9"/>
            <w:vAlign w:val="top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color w:val="auto"/>
                <w:kern w:val="2"/>
                <w:sz w:val="24"/>
                <w:szCs w:val="24"/>
                <w:lang w:val="en-US" w:eastAsia="zh-CN" w:bidi="ar-SA"/>
              </w:rPr>
              <w:t>福建左海科技有限公司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传真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通讯地址</w:t>
            </w:r>
          </w:p>
        </w:tc>
        <w:tc>
          <w:tcPr>
            <w:tcW w:w="3952" w:type="dxa"/>
            <w:gridSpan w:val="9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2"/>
              </w:rPr>
              <w:t>福州市晋安区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2"/>
                <w:lang w:eastAsia="zh-CN"/>
              </w:rPr>
              <w:t>福兴大道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2"/>
                <w:lang w:val="en-US" w:eastAsia="zh-CN"/>
              </w:rPr>
              <w:t>38号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邮编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3500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负责人</w:t>
            </w:r>
          </w:p>
        </w:tc>
        <w:tc>
          <w:tcPr>
            <w:tcW w:w="15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</w:p>
        </w:tc>
        <w:tc>
          <w:tcPr>
            <w:tcW w:w="836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电话</w:t>
            </w:r>
          </w:p>
        </w:tc>
        <w:tc>
          <w:tcPr>
            <w:tcW w:w="15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0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联系人</w:t>
            </w:r>
          </w:p>
        </w:tc>
        <w:tc>
          <w:tcPr>
            <w:tcW w:w="1536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</w:p>
        </w:tc>
        <w:tc>
          <w:tcPr>
            <w:tcW w:w="836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电话</w:t>
            </w:r>
          </w:p>
        </w:tc>
        <w:tc>
          <w:tcPr>
            <w:tcW w:w="15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18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手机</w:t>
            </w:r>
          </w:p>
        </w:tc>
        <w:tc>
          <w:tcPr>
            <w:tcW w:w="201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64" w:type="dxa"/>
            <w:gridSpan w:val="17"/>
            <w:vAlign w:val="center"/>
          </w:tcPr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二、进度计划安排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24"/>
              </w:rPr>
              <w:t>阶</w:t>
            </w:r>
            <w:r>
              <w:rPr>
                <w:b/>
                <w:bCs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段</w:t>
            </w:r>
          </w:p>
        </w:tc>
        <w:tc>
          <w:tcPr>
            <w:tcW w:w="3601" w:type="dxa"/>
            <w:gridSpan w:val="9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24"/>
              </w:rPr>
              <w:t>起止时间</w:t>
            </w:r>
          </w:p>
        </w:tc>
        <w:tc>
          <w:tcPr>
            <w:tcW w:w="4054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24"/>
              </w:rPr>
              <w:t>计划安排内容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24"/>
              </w:rPr>
              <w:t>设计阶段</w:t>
            </w:r>
          </w:p>
        </w:tc>
        <w:tc>
          <w:tcPr>
            <w:tcW w:w="3601" w:type="dxa"/>
            <w:gridSpan w:val="9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/10-202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30</w:t>
            </w:r>
          </w:p>
        </w:tc>
        <w:tc>
          <w:tcPr>
            <w:tcW w:w="4054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项目方案，扩初，施工图设计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24"/>
              </w:rPr>
              <w:t>建设准备阶段</w:t>
            </w:r>
          </w:p>
        </w:tc>
        <w:tc>
          <w:tcPr>
            <w:tcW w:w="3601" w:type="dxa"/>
            <w:gridSpan w:val="9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-202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10</w:t>
            </w:r>
          </w:p>
        </w:tc>
        <w:tc>
          <w:tcPr>
            <w:tcW w:w="4054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项目报批，建设单位进场准备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24"/>
              </w:rPr>
              <w:t>建设实施阶段</w:t>
            </w:r>
          </w:p>
        </w:tc>
        <w:tc>
          <w:tcPr>
            <w:tcW w:w="3601" w:type="dxa"/>
            <w:gridSpan w:val="9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-202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/30</w:t>
            </w:r>
          </w:p>
        </w:tc>
        <w:tc>
          <w:tcPr>
            <w:tcW w:w="4054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项目实际施工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24"/>
              </w:rPr>
              <w:t>竣工验收阶段</w:t>
            </w:r>
          </w:p>
        </w:tc>
        <w:tc>
          <w:tcPr>
            <w:tcW w:w="3601" w:type="dxa"/>
            <w:gridSpan w:val="9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kern w:val="2"/>
                <w:sz w:val="3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</w:rPr>
              <w:t>202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30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-202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/0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FF0000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30</w:t>
            </w:r>
          </w:p>
        </w:tc>
        <w:tc>
          <w:tcPr>
            <w:tcW w:w="4054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hint="eastAsia"/>
                <w:color w:val="FF0000"/>
                <w:sz w:val="24"/>
              </w:rPr>
            </w:pPr>
            <w:r>
              <w:rPr>
                <w:rFonts w:hint="eastAsia"/>
                <w:color w:val="FF0000"/>
                <w:sz w:val="24"/>
              </w:rPr>
              <w:t>工程预验收，竣工验收</w:t>
            </w:r>
          </w:p>
        </w:tc>
      </w:tr>
    </w:tbl>
    <w:tbl>
      <w:tblPr>
        <w:tblStyle w:val="8"/>
        <w:tblpPr w:leftFromText="180" w:rightFromText="180" w:vertAnchor="text" w:horzAnchor="page" w:tblpX="1416" w:tblpY="586"/>
        <w:tblOverlap w:val="never"/>
        <w:tblW w:w="94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2029"/>
        <w:gridCol w:w="1940"/>
        <w:gridCol w:w="3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4"/>
            <w:vAlign w:val="center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三、单位工程概况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0" w:hRule="atLeast"/>
        </w:trPr>
        <w:tc>
          <w:tcPr>
            <w:tcW w:w="9464" w:type="dxa"/>
            <w:gridSpan w:val="4"/>
            <w:vAlign w:val="center"/>
          </w:tcPr>
          <w:p>
            <w:pPr>
              <w:spacing w:line="540" w:lineRule="exact"/>
              <w:ind w:firstLine="480" w:firstLineChars="200"/>
              <w:rPr>
                <w:rFonts w:hint="eastAsia" w:ascii="仿宋_GB2312"/>
                <w:sz w:val="24"/>
                <w:szCs w:val="22"/>
                <w:lang w:val="zh-CN"/>
              </w:rPr>
            </w:pPr>
            <w:r>
              <w:rPr>
                <w:rFonts w:hint="eastAsia" w:ascii="仿宋_GB2312"/>
                <w:sz w:val="24"/>
                <w:szCs w:val="22"/>
              </w:rPr>
              <w:t>本项目位于福州市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晋安</w:t>
            </w:r>
            <w:r>
              <w:rPr>
                <w:rFonts w:hint="eastAsia" w:ascii="仿宋_GB2312"/>
                <w:sz w:val="24"/>
                <w:szCs w:val="22"/>
              </w:rPr>
              <w:t>区。</w:t>
            </w:r>
          </w:p>
          <w:p>
            <w:pPr>
              <w:spacing w:line="540" w:lineRule="exact"/>
              <w:ind w:firstLine="480" w:firstLineChars="200"/>
              <w:rPr>
                <w:rFonts w:hint="eastAsia" w:ascii="仿宋_GB2312" w:hAnsi="Times New Roman" w:cs="Times New Roman"/>
                <w:sz w:val="24"/>
                <w:szCs w:val="22"/>
              </w:rPr>
            </w:pPr>
            <w:r>
              <w:rPr>
                <w:rFonts w:hint="eastAsia" w:ascii="仿宋_GB2312"/>
                <w:sz w:val="24"/>
                <w:szCs w:val="22"/>
              </w:rPr>
              <w:t>本项目总建筑面积为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370801.24</w:t>
            </w:r>
            <w:r>
              <w:rPr>
                <w:rFonts w:hint="eastAsia" w:ascii="仿宋_GB2312"/>
                <w:sz w:val="24"/>
                <w:szCs w:val="22"/>
              </w:rPr>
              <w:t>㎡，计入容积率的建筑面积为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275351.68</w:t>
            </w:r>
            <w:r>
              <w:rPr>
                <w:rFonts w:hint="eastAsia" w:ascii="仿宋_GB2312"/>
                <w:sz w:val="24"/>
                <w:szCs w:val="22"/>
              </w:rPr>
              <w:t>㎡。其中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1#、2#、2-1#、2-2#、3#、3-1#、5#、6#、8#、12#、13#、18#、20#、23#、25#、PT1#楼</w:t>
            </w:r>
            <w:r>
              <w:rPr>
                <w:rFonts w:hint="eastAsia" w:ascii="仿宋_GB2312"/>
                <w:sz w:val="24"/>
                <w:szCs w:val="22"/>
              </w:rPr>
              <w:t>为装配式建筑，装配式建筑的计容面积为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138112.83</w:t>
            </w:r>
            <w:r>
              <w:rPr>
                <w:rFonts w:hint="eastAsia" w:ascii="仿宋_GB2312"/>
                <w:sz w:val="24"/>
                <w:szCs w:val="22"/>
              </w:rPr>
              <w:t>㎡，装配式建筑的比例为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138112.83</w:t>
            </w:r>
            <w:r>
              <w:rPr>
                <w:rFonts w:hint="default" w:ascii="仿宋_GB2312"/>
                <w:sz w:val="24"/>
                <w:szCs w:val="22"/>
                <w:lang w:val="en-US"/>
              </w:rPr>
              <w:t>/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275351.68</w:t>
            </w:r>
            <w:r>
              <w:rPr>
                <w:rFonts w:hint="default" w:ascii="仿宋_GB2312"/>
                <w:sz w:val="24"/>
                <w:szCs w:val="22"/>
                <w:lang w:val="en-US"/>
              </w:rPr>
              <w:t>=</w:t>
            </w:r>
            <w:r>
              <w:rPr>
                <w:rFonts w:hint="eastAsia" w:ascii="仿宋_GB2312"/>
                <w:sz w:val="24"/>
                <w:szCs w:val="22"/>
              </w:rPr>
              <w:t>50.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16</w:t>
            </w:r>
            <w:r>
              <w:rPr>
                <w:rFonts w:hint="eastAsia" w:ascii="仿宋_GB2312"/>
                <w:sz w:val="24"/>
                <w:szCs w:val="22"/>
              </w:rPr>
              <w:t>%&gt;50%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，</w:t>
            </w:r>
            <w:r>
              <w:rPr>
                <w:rFonts w:hint="eastAsia" w:ascii="仿宋_GB2312"/>
                <w:sz w:val="24"/>
                <w:szCs w:val="22"/>
              </w:rPr>
              <w:t>结构体系：装配式混凝土结</w:t>
            </w:r>
            <w:r>
              <w:rPr>
                <w:rFonts w:hint="eastAsia" w:ascii="仿宋_GB2312" w:hAnsi="Times New Roman" w:cs="Times New Roman"/>
                <w:sz w:val="24"/>
                <w:szCs w:val="22"/>
              </w:rPr>
              <w:t>构。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本项目1#、2#、2-1#、2-2#、3#、3-1#、5#、6#、8#、12#、13#、18#、20#、23#、25#楼预制构件为预制叠合板、预制飘窗盖板、装配式内隔墙；PT1#楼预制构件为预制叠合板、装配式内隔墙</w:t>
            </w:r>
            <w:r>
              <w:rPr>
                <w:rFonts w:hint="eastAsia" w:ascii="仿宋_GB2312" w:hAnsi="Times New Roman" w:cs="Times New Roman"/>
                <w:sz w:val="24"/>
                <w:szCs w:val="22"/>
              </w:rPr>
              <w:t>，各单体装配率均不低于50%。</w:t>
            </w:r>
          </w:p>
          <w:p>
            <w:pPr>
              <w:spacing w:line="540" w:lineRule="exact"/>
              <w:ind w:firstLine="480" w:firstLineChars="200"/>
              <w:rPr>
                <w:rFonts w:hint="eastAsia" w:ascii="仿宋_GB2312" w:hAnsi="Times New Roman" w:cs="Times New Roman"/>
                <w:color w:val="auto"/>
                <w:sz w:val="24"/>
                <w:szCs w:val="22"/>
              </w:rPr>
            </w:pPr>
            <w:r>
              <w:rPr>
                <w:rFonts w:hint="eastAsia" w:ascii="仿宋_GB2312"/>
                <w:color w:val="auto"/>
                <w:sz w:val="24"/>
                <w:szCs w:val="22"/>
              </w:rPr>
              <w:t>本工程施工图设计文件已通过审图机构审查。审查</w:t>
            </w:r>
            <w:r>
              <w:rPr>
                <w:rFonts w:hint="eastAsia" w:ascii="仿宋_GB2312" w:hAnsi="Times New Roman" w:cs="Times New Roman"/>
                <w:color w:val="auto"/>
                <w:sz w:val="24"/>
                <w:szCs w:val="22"/>
              </w:rPr>
              <w:t>机构：福建省建科院施工图审查有限公司，合格证编号:</w:t>
            </w:r>
            <w:r>
              <w:rPr>
                <w:rFonts w:hint="eastAsia" w:ascii="仿宋_GB2312" w:hAnsi="Times New Roman" w:cs="Times New Roman"/>
                <w:color w:val="auto"/>
                <w:sz w:val="24"/>
                <w:szCs w:val="22"/>
                <w:lang w:val="en-US" w:eastAsia="zh-CN"/>
              </w:rPr>
              <w:t>3501112211100101-TX-001</w:t>
            </w:r>
            <w:r>
              <w:rPr>
                <w:rFonts w:hint="eastAsia" w:ascii="仿宋_GB2312" w:hAnsi="Times New Roman" w:cs="Times New Roman"/>
                <w:color w:val="auto"/>
                <w:sz w:val="24"/>
                <w:szCs w:val="22"/>
              </w:rPr>
              <w:t>。</w:t>
            </w: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4"/>
            <w:vAlign w:val="center"/>
          </w:tcPr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四、评价内容简介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4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1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、主体结构应用情况</w:t>
            </w:r>
          </w:p>
          <w:p>
            <w:pPr>
              <w:spacing w:line="560" w:lineRule="exact"/>
              <w:ind w:firstLine="480" w:firstLineChars="200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1.1、本项目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val="en-US" w:eastAsia="zh-CN"/>
              </w:rPr>
              <w:t>1#、2#、2-1#、2-2#、3#、3-1#、5#、6#、8#、12#、13#、18#、20#、23#、25#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楼</w:t>
            </w:r>
            <w:r>
              <w:rPr>
                <w:rFonts w:hint="eastAsia" w:ascii="仿宋_GB2312"/>
                <w:sz w:val="24"/>
                <w:szCs w:val="24"/>
              </w:rPr>
              <w:t>主体结构预制构件为预制叠合板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、预制飘窗盖板，PT1#楼</w:t>
            </w:r>
            <w:r>
              <w:rPr>
                <w:rFonts w:hint="eastAsia" w:ascii="仿宋_GB2312"/>
                <w:sz w:val="24"/>
                <w:szCs w:val="24"/>
              </w:rPr>
              <w:t>主体结构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预制构件为预制叠合板</w:t>
            </w:r>
            <w:r>
              <w:rPr>
                <w:rFonts w:hint="eastAsia" w:ascii="仿宋_GB2312"/>
                <w:sz w:val="24"/>
                <w:szCs w:val="24"/>
              </w:rPr>
              <w:t>。</w:t>
            </w:r>
          </w:p>
          <w:p>
            <w:pPr>
              <w:spacing w:line="560" w:lineRule="exact"/>
              <w:ind w:firstLine="480" w:firstLineChars="200"/>
              <w:rPr>
                <w:rFonts w:hint="eastAsia" w:ascii="等线" w:hAnsi="等线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水</w:t>
            </w:r>
            <w:r>
              <w:rPr>
                <w:rFonts w:hint="eastAsia" w:ascii="仿宋_GB2312"/>
                <w:sz w:val="24"/>
                <w:szCs w:val="24"/>
              </w:rPr>
              <w:t>平构件中预制部品部件的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应用比例计算如下表</w:t>
            </w:r>
            <w:r>
              <w:rPr>
                <w:rFonts w:hint="eastAsia" w:ascii="等线" w:hAnsi="等线"/>
                <w:sz w:val="24"/>
                <w:szCs w:val="24"/>
              </w:rPr>
              <w:t>：</w:t>
            </w:r>
          </w:p>
          <w:tbl>
            <w:tblPr>
              <w:tblStyle w:val="8"/>
              <w:tblW w:w="0" w:type="auto"/>
              <w:jc w:val="center"/>
              <w:tblBorders>
                <w:top w:val="single" w:color="000000" w:sz="18" w:space="0"/>
                <w:left w:val="single" w:color="000000" w:sz="18" w:space="0"/>
                <w:bottom w:val="single" w:color="000000" w:sz="18" w:space="0"/>
                <w:right w:val="single" w:color="000000" w:sz="18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389"/>
              <w:gridCol w:w="1559"/>
              <w:gridCol w:w="1268"/>
              <w:gridCol w:w="1268"/>
              <w:gridCol w:w="1268"/>
            </w:tblGrid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5" w:hRule="atLeast"/>
                <w:jc w:val="center"/>
              </w:trPr>
              <w:tc>
                <w:tcPr>
                  <w:tcW w:w="238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楼栋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预制构件水平投影总面积(㎡)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建筑外轮廓总面积(㎡)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预制部品部件的应用比例Q</w:t>
                  </w:r>
                  <w:r>
                    <w:rPr>
                      <w:rFonts w:ascii="仿宋_GB2312" w:hAnsi="仿宋"/>
                      <w:sz w:val="24"/>
                      <w:szCs w:val="24"/>
                    </w:rPr>
                    <w:t>1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c</w:t>
                  </w:r>
                  <w:r>
                    <w:rPr>
                      <w:rFonts w:ascii="仿宋_GB2312" w:hAnsi="仿宋"/>
                      <w:sz w:val="24"/>
                      <w:szCs w:val="24"/>
                    </w:rPr>
                    <w:t>(%)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装配率</w:t>
                  </w:r>
                </w:p>
                <w:p>
                  <w:pPr>
                    <w:shd w:val="clear" w:color="auto" w:fill="FFFFFF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评价分值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38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1#楼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 xml:space="preserve">8468.12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 xml:space="preserve">11259.37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75.2%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25.2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38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2#、2-1#、2-2#楼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8265.28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10991.53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75.2%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25.2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38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3#、3-1#楼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11413.46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15069.79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75.7</w:t>
                  </w:r>
                  <w:r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  <w:t>%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25.7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38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" w:hAnsi="仿宋" w:eastAsia="仿宋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5#楼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8990.48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11937.56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75.3</w:t>
                  </w:r>
                  <w:r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  <w:t>%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2</w:t>
                  </w:r>
                  <w:r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  <w:t>5.3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38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" w:hAnsi="仿宋" w:eastAsia="仿宋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6#楼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12980.99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17192.19</w:t>
                  </w:r>
                  <w:r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  <w:t xml:space="preserve">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75.5</w:t>
                  </w:r>
                  <w:r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  <w:t>%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25.5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38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" w:hAnsi="仿宋" w:eastAsia="仿宋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8#楼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11104.35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14539.91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76.4%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26.4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38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" w:hAnsi="仿宋" w:eastAsia="仿宋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12#楼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8057.21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 xml:space="preserve">10554.35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76.3%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26.3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38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" w:hAnsi="仿宋" w:eastAsia="仿宋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13#楼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8027.84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 xml:space="preserve">10519.05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76.3%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26.3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38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" w:hAnsi="仿宋" w:eastAsia="仿宋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18#楼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8519.59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11318.26</w:t>
                  </w:r>
                  <w:r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  <w:t xml:space="preserve">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75.3</w:t>
                  </w:r>
                  <w:r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  <w:t>%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2</w:t>
                  </w:r>
                  <w:r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  <w:t>5.3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38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20#楼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13020.92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 xml:space="preserve">17183.96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75.8%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25.8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38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23#楼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8681.07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 xml:space="preserve">11449.03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75.8%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25.8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38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25#楼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8519.43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11318.05</w:t>
                  </w:r>
                  <w:r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  <w:t xml:space="preserve">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75.3</w:t>
                  </w:r>
                  <w:r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  <w:t>%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2</w:t>
                  </w:r>
                  <w:r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  <w:t>5.3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38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PT1#楼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1655.99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2049.51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80.</w:t>
                  </w:r>
                  <w:r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  <w:t>8</w:t>
                  </w: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%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30.8</w:t>
                  </w:r>
                </w:p>
              </w:tc>
            </w:tr>
          </w:tbl>
          <w:p>
            <w:pPr>
              <w:spacing w:line="560" w:lineRule="exact"/>
              <w:ind w:firstLine="480" w:firstLineChars="200"/>
              <w:rPr>
                <w:rFonts w:hint="eastAsia" w:ascii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/>
                <w:sz w:val="24"/>
                <w:szCs w:val="24"/>
              </w:rPr>
              <w:t>1.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/>
                <w:sz w:val="24"/>
                <w:szCs w:val="24"/>
              </w:rPr>
              <w:t>、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本项目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val="en-US" w:eastAsia="zh-CN"/>
              </w:rPr>
              <w:t>1#、2#、2-1#、2-2#、3#、3-1#、5#、6#、8#、12#、13#、18#、20#、23#、25#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楼</w:t>
            </w:r>
            <w:r>
              <w:rPr>
                <w:rFonts w:hint="eastAsia" w:ascii="仿宋_GB2312"/>
                <w:sz w:val="24"/>
                <w:szCs w:val="24"/>
              </w:rPr>
              <w:t>采用装配式模板，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PT1#楼</w:t>
            </w:r>
            <w:r>
              <w:rPr>
                <w:rFonts w:hint="eastAsia" w:ascii="仿宋_GB2312"/>
                <w:sz w:val="24"/>
                <w:szCs w:val="24"/>
              </w:rPr>
              <w:t>未采用装配式模板</w:t>
            </w:r>
            <w:r>
              <w:rPr>
                <w:rFonts w:hint="eastAsia" w:ascii="仿宋_GB2312"/>
                <w:sz w:val="24"/>
                <w:szCs w:val="24"/>
                <w:lang w:eastAsia="zh-CN"/>
              </w:rPr>
              <w:t>。</w:t>
            </w:r>
          </w:p>
          <w:p>
            <w:pPr>
              <w:spacing w:line="560" w:lineRule="exact"/>
              <w:ind w:firstLine="480" w:firstLineChars="200"/>
              <w:rPr>
                <w:rFonts w:hint="eastAsia" w:ascii="汉仪细等线繁" w:hAnsi="汉仪细等线繁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  <w:lang w:eastAsia="zh-CN"/>
              </w:rPr>
              <w:t>各楼栋</w:t>
            </w:r>
            <w:r>
              <w:rPr>
                <w:rFonts w:hint="eastAsia" w:ascii="仿宋_GB2312"/>
                <w:sz w:val="24"/>
                <w:szCs w:val="24"/>
              </w:rPr>
              <w:t>装配式模板应用比例应用比例</w:t>
            </w:r>
            <w:r>
              <w:rPr>
                <w:rFonts w:hint="eastAsia" w:ascii="仿宋_GB2312"/>
                <w:sz w:val="24"/>
                <w:szCs w:val="24"/>
                <w:lang w:eastAsia="zh-CN"/>
              </w:rPr>
              <w:t>如下</w:t>
            </w:r>
            <w:r>
              <w:rPr>
                <w:rFonts w:hint="eastAsia" w:ascii="汉仪细等线繁" w:hAnsi="汉仪细等线繁"/>
                <w:sz w:val="24"/>
                <w:szCs w:val="24"/>
              </w:rPr>
              <w:t>：</w:t>
            </w:r>
          </w:p>
          <w:tbl>
            <w:tblPr>
              <w:tblStyle w:val="8"/>
              <w:tblW w:w="0" w:type="auto"/>
              <w:jc w:val="center"/>
              <w:tblBorders>
                <w:top w:val="single" w:color="000000" w:sz="18" w:space="0"/>
                <w:left w:val="single" w:color="000000" w:sz="18" w:space="0"/>
                <w:bottom w:val="single" w:color="000000" w:sz="18" w:space="0"/>
                <w:right w:val="single" w:color="000000" w:sz="18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653"/>
              <w:gridCol w:w="1788"/>
              <w:gridCol w:w="1504"/>
              <w:gridCol w:w="1504"/>
              <w:gridCol w:w="1504"/>
            </w:tblGrid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5" w:hRule="atLeast"/>
                <w:jc w:val="center"/>
              </w:trPr>
              <w:tc>
                <w:tcPr>
                  <w:tcW w:w="16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  <w:tl2br w:val="nil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b w:val="0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b w:val="0"/>
                      <w:color w:val="000000"/>
                      <w:sz w:val="24"/>
                      <w:szCs w:val="24"/>
                    </w:rPr>
                    <w:t>楼栋</w:t>
                  </w:r>
                </w:p>
              </w:tc>
              <w:tc>
                <w:tcPr>
                  <w:tcW w:w="178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/>
                      <w:b w:val="0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b w:val="0"/>
                      <w:color w:val="000000"/>
                      <w:sz w:val="24"/>
                      <w:szCs w:val="24"/>
                    </w:rPr>
                    <w:t>装配式模板的现浇混凝土体积之和（m3）</w:t>
                  </w:r>
                </w:p>
              </w:tc>
              <w:tc>
                <w:tcPr>
                  <w:tcW w:w="150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b w:val="0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b w:val="0"/>
                      <w:color w:val="000000"/>
                      <w:sz w:val="24"/>
                      <w:szCs w:val="24"/>
                    </w:rPr>
                    <w:t>柱、剪力墙体积之和（m3）</w:t>
                  </w:r>
                </w:p>
              </w:tc>
              <w:tc>
                <w:tcPr>
                  <w:tcW w:w="150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b w:val="0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b w:val="0"/>
                      <w:color w:val="000000"/>
                      <w:sz w:val="24"/>
                      <w:szCs w:val="24"/>
                    </w:rPr>
                    <w:t>装配式模板应用比例（%）</w:t>
                  </w:r>
                </w:p>
              </w:tc>
              <w:tc>
                <w:tcPr>
                  <w:tcW w:w="150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/>
                      <w:b w:val="0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b w:val="0"/>
                      <w:color w:val="000000"/>
                      <w:sz w:val="24"/>
                      <w:szCs w:val="24"/>
                    </w:rPr>
                    <w:t>装配率</w:t>
                  </w:r>
                </w:p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b w:val="0"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b w:val="0"/>
                      <w:color w:val="000000"/>
                      <w:sz w:val="24"/>
                      <w:szCs w:val="24"/>
                    </w:rPr>
                    <w:t>评价分值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16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" w:hAnsi="仿宋" w:eastAsia="仿宋" w:cs="宋体"/>
                      <w:b w:val="0"/>
                      <w:color w:val="000000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>1#楼</w:t>
                  </w:r>
                </w:p>
              </w:tc>
              <w:tc>
                <w:tcPr>
                  <w:tcW w:w="178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jc w:val="center"/>
                    <w:rPr>
                      <w:rFonts w:hint="default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 xml:space="preserve">1292.64 </w:t>
                  </w:r>
                </w:p>
              </w:tc>
              <w:tc>
                <w:tcPr>
                  <w:tcW w:w="150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jc w:val="center"/>
                    <w:rPr>
                      <w:rFonts w:hint="default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>1447.294</w:t>
                  </w:r>
                </w:p>
              </w:tc>
              <w:tc>
                <w:tcPr>
                  <w:tcW w:w="150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jc w:val="center"/>
                    <w:rPr>
                      <w:rFonts w:hint="default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>89.31%</w:t>
                  </w:r>
                </w:p>
              </w:tc>
              <w:tc>
                <w:tcPr>
                  <w:tcW w:w="150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jc w:val="center"/>
                    <w:rPr>
                      <w:rFonts w:hint="default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>5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16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" w:hAnsi="仿宋" w:eastAsia="仿宋" w:cs="宋体"/>
                      <w:b w:val="0"/>
                      <w:color w:val="000000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>2#、2-1#、2-2#楼</w:t>
                  </w:r>
                </w:p>
              </w:tc>
              <w:tc>
                <w:tcPr>
                  <w:tcW w:w="178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jc w:val="center"/>
                    <w:rPr>
                      <w:rFonts w:hint="default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 xml:space="preserve">1103.35 </w:t>
                  </w:r>
                </w:p>
              </w:tc>
              <w:tc>
                <w:tcPr>
                  <w:tcW w:w="150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jc w:val="center"/>
                    <w:rPr>
                      <w:rFonts w:hint="default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 xml:space="preserve">1244.39 </w:t>
                  </w:r>
                </w:p>
              </w:tc>
              <w:tc>
                <w:tcPr>
                  <w:tcW w:w="150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jc w:val="center"/>
                    <w:rPr>
                      <w:rFonts w:hint="default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>88.67%</w:t>
                  </w:r>
                </w:p>
              </w:tc>
              <w:tc>
                <w:tcPr>
                  <w:tcW w:w="150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jc w:val="center"/>
                    <w:rPr>
                      <w:rFonts w:hint="default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>5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16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" w:hAnsi="仿宋" w:eastAsia="仿宋" w:cs="宋体"/>
                      <w:b w:val="0"/>
                      <w:color w:val="000000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>3#、3-1#楼</w:t>
                  </w:r>
                </w:p>
              </w:tc>
              <w:tc>
                <w:tcPr>
                  <w:tcW w:w="178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jc w:val="center"/>
                    <w:rPr>
                      <w:rFonts w:hint="default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>1915.408</w:t>
                  </w:r>
                </w:p>
              </w:tc>
              <w:tc>
                <w:tcPr>
                  <w:tcW w:w="150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jc w:val="center"/>
                    <w:rPr>
                      <w:rFonts w:hint="default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>2053.289</w:t>
                  </w:r>
                </w:p>
              </w:tc>
              <w:tc>
                <w:tcPr>
                  <w:tcW w:w="150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jc w:val="center"/>
                    <w:rPr>
                      <w:rFonts w:hint="default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>93.28%</w:t>
                  </w:r>
                </w:p>
              </w:tc>
              <w:tc>
                <w:tcPr>
                  <w:tcW w:w="150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jc w:val="center"/>
                    <w:rPr>
                      <w:rFonts w:hint="default" w:ascii="仿宋" w:hAnsi="仿宋" w:eastAsia="仿宋" w:cs="Times New Roman"/>
                      <w:b w:val="0"/>
                      <w:color w:val="000000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>5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1653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" w:hAnsi="仿宋" w:eastAsia="仿宋" w:cs="宋体"/>
                      <w:b w:val="0"/>
                      <w:color w:val="000000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>5#楼</w:t>
                  </w:r>
                </w:p>
              </w:tc>
              <w:tc>
                <w:tcPr>
                  <w:tcW w:w="178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jc w:val="center"/>
                    <w:rPr>
                      <w:rFonts w:hint="default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>1292.639</w:t>
                  </w:r>
                </w:p>
              </w:tc>
              <w:tc>
                <w:tcPr>
                  <w:tcW w:w="150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jc w:val="center"/>
                    <w:rPr>
                      <w:rFonts w:hint="default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>1426.028</w:t>
                  </w:r>
                </w:p>
              </w:tc>
              <w:tc>
                <w:tcPr>
                  <w:tcW w:w="150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jc w:val="center"/>
                    <w:rPr>
                      <w:rFonts w:hint="default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>90.65%</w:t>
                  </w:r>
                </w:p>
              </w:tc>
              <w:tc>
                <w:tcPr>
                  <w:tcW w:w="1504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jc w:val="center"/>
                    <w:rPr>
                      <w:rFonts w:hint="default" w:ascii="仿宋" w:hAnsi="仿宋" w:eastAsia="仿宋" w:cs="Times New Roman"/>
                      <w:b w:val="0"/>
                      <w:color w:val="000000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>5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0" w:type="auto"/>
                  <w:tcBorders>
                    <w:lef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" w:hAnsi="仿宋" w:eastAsia="仿宋" w:cs="宋体"/>
                      <w:b w:val="0"/>
                      <w:color w:val="000000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>6#楼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>2609.325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>2737.895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>95.30%</w:t>
                  </w:r>
                </w:p>
              </w:tc>
              <w:tc>
                <w:tcPr>
                  <w:tcW w:w="0" w:type="auto"/>
                  <w:tcBorders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仿宋" w:hAnsi="仿宋" w:eastAsia="仿宋" w:cs="Times New Roman"/>
                      <w:b w:val="0"/>
                      <w:color w:val="000000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>5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0" w:type="auto"/>
                  <w:tcBorders>
                    <w:lef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" w:hAnsi="仿宋" w:eastAsia="仿宋" w:cs="宋体"/>
                      <w:b w:val="0"/>
                      <w:color w:val="000000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>8#楼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 xml:space="preserve">2091.50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 xml:space="preserve">2331.45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>89.71%</w:t>
                  </w:r>
                </w:p>
              </w:tc>
              <w:tc>
                <w:tcPr>
                  <w:tcW w:w="0" w:type="auto"/>
                  <w:tcBorders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仿宋" w:hAnsi="仿宋" w:eastAsia="仿宋" w:cs="Times New Roman"/>
                      <w:b w:val="0"/>
                      <w:color w:val="000000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>5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0" w:type="auto"/>
                  <w:tcBorders>
                    <w:lef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" w:hAnsi="仿宋" w:eastAsia="仿宋" w:cs="宋体"/>
                      <w:b w:val="0"/>
                      <w:color w:val="000000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>12#楼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 xml:space="preserve">1103.35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 xml:space="preserve">1251.41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>88.17%</w:t>
                  </w:r>
                </w:p>
              </w:tc>
              <w:tc>
                <w:tcPr>
                  <w:tcW w:w="0" w:type="auto"/>
                  <w:tcBorders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仿宋" w:hAnsi="仿宋" w:eastAsia="仿宋" w:cs="Times New Roman"/>
                      <w:b w:val="0"/>
                      <w:color w:val="000000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>5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0" w:type="auto"/>
                  <w:tcBorders>
                    <w:lef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" w:hAnsi="仿宋" w:eastAsia="仿宋" w:cs="宋体"/>
                      <w:b w:val="0"/>
                      <w:color w:val="000000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>13#楼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 xml:space="preserve">1103.35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 xml:space="preserve">1251.61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>88.15%</w:t>
                  </w:r>
                </w:p>
              </w:tc>
              <w:tc>
                <w:tcPr>
                  <w:tcW w:w="0" w:type="auto"/>
                  <w:tcBorders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仿宋" w:hAnsi="仿宋" w:eastAsia="仿宋" w:cs="Times New Roman"/>
                      <w:b w:val="0"/>
                      <w:color w:val="000000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>5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0" w:type="auto"/>
                  <w:tcBorders>
                    <w:lef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" w:hAnsi="仿宋" w:eastAsia="仿宋" w:cs="宋体"/>
                      <w:b w:val="0"/>
                      <w:color w:val="000000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>18#楼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>1291.946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>1438.498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>89.81%</w:t>
                  </w:r>
                </w:p>
              </w:tc>
              <w:tc>
                <w:tcPr>
                  <w:tcW w:w="0" w:type="auto"/>
                  <w:tcBorders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仿宋" w:hAnsi="仿宋" w:eastAsia="仿宋" w:cs="Times New Roman"/>
                      <w:b w:val="0"/>
                      <w:color w:val="000000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>5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0" w:type="auto"/>
                  <w:tcBorders>
                    <w:lef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" w:hAnsi="仿宋" w:eastAsia="仿宋" w:cs="宋体"/>
                      <w:b w:val="0"/>
                      <w:color w:val="000000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>20#楼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>2609.325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>2737.895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>95.30%</w:t>
                  </w:r>
                </w:p>
              </w:tc>
              <w:tc>
                <w:tcPr>
                  <w:tcW w:w="0" w:type="auto"/>
                  <w:tcBorders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仿宋" w:hAnsi="仿宋" w:eastAsia="仿宋" w:cs="Times New Roman"/>
                      <w:b w:val="0"/>
                      <w:color w:val="000000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>5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0" w:type="auto"/>
                  <w:tcBorders>
                    <w:lef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" w:hAnsi="仿宋" w:eastAsia="仿宋" w:cs="宋体"/>
                      <w:b w:val="0"/>
                      <w:color w:val="000000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>23#楼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 xml:space="preserve">1277.99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 xml:space="preserve">1417.17 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>90.18%</w:t>
                  </w:r>
                </w:p>
              </w:tc>
              <w:tc>
                <w:tcPr>
                  <w:tcW w:w="0" w:type="auto"/>
                  <w:tcBorders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仿宋" w:hAnsi="仿宋" w:eastAsia="仿宋" w:cs="Times New Roman"/>
                      <w:b w:val="0"/>
                      <w:color w:val="000000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>5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0" w:type="auto"/>
                  <w:tcBorders>
                    <w:left w:val="single" w:color="000000" w:sz="4" w:space="0"/>
                    <w:bottom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" w:hAnsi="仿宋" w:eastAsia="仿宋" w:cs="宋体"/>
                      <w:b w:val="0"/>
                      <w:color w:val="000000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>25#楼</w:t>
                  </w:r>
                </w:p>
              </w:tc>
              <w:tc>
                <w:tcPr>
                  <w:tcW w:w="0" w:type="auto"/>
                  <w:tcBorders>
                    <w:bottom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>1292.639</w:t>
                  </w:r>
                </w:p>
              </w:tc>
              <w:tc>
                <w:tcPr>
                  <w:tcW w:w="0" w:type="auto"/>
                  <w:tcBorders>
                    <w:bottom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>1431.054</w:t>
                  </w:r>
                </w:p>
              </w:tc>
              <w:tc>
                <w:tcPr>
                  <w:tcW w:w="0" w:type="auto"/>
                  <w:tcBorders>
                    <w:bottom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>90.33%</w:t>
                  </w:r>
                </w:p>
              </w:tc>
              <w:tc>
                <w:tcPr>
                  <w:tcW w:w="0" w:type="auto"/>
                  <w:tcBorders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default" w:ascii="仿宋" w:hAnsi="仿宋" w:eastAsia="仿宋" w:cs="Times New Roman"/>
                      <w:b w:val="0"/>
                      <w:color w:val="000000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Times New Roman"/>
                      <w:b w:val="0"/>
                      <w:color w:val="000000"/>
                      <w:sz w:val="24"/>
                      <w:szCs w:val="24"/>
                      <w:lang w:val="en-US" w:eastAsia="zh-CN"/>
                    </w:rPr>
                    <w:t>5</w:t>
                  </w:r>
                </w:p>
              </w:tc>
            </w:tr>
          </w:tbl>
          <w:p>
            <w:pPr>
              <w:spacing w:line="560" w:lineRule="exact"/>
              <w:ind w:firstLine="480" w:firstLineChars="20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根据《福建省装配式建筑评价管理办法（试行）》规定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,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val="en-US" w:eastAsia="zh-CN"/>
              </w:rPr>
              <w:t>1#、2#、2-1#、2-2#、3#、3-1#、5#、6#、8#、12#、13#、18#、20#、23#、25#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楼</w:t>
            </w:r>
            <w:r>
              <w:rPr>
                <w:rFonts w:hint="eastAsia" w:ascii="仿宋_GB2312"/>
                <w:sz w:val="24"/>
                <w:szCs w:val="24"/>
              </w:rPr>
              <w:t>装配式模板应用比例均大于7</w:t>
            </w:r>
            <w:r>
              <w:rPr>
                <w:rFonts w:ascii="仿宋_GB2312"/>
                <w:sz w:val="24"/>
                <w:szCs w:val="24"/>
              </w:rPr>
              <w:t>0</w:t>
            </w:r>
            <w:r>
              <w:rPr>
                <w:rFonts w:hint="eastAsia" w:ascii="仿宋_GB2312"/>
                <w:sz w:val="24"/>
                <w:szCs w:val="24"/>
              </w:rPr>
              <w:t>%，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val="en-US" w:eastAsia="zh-CN"/>
              </w:rPr>
              <w:t>1#、2#、2-1#、2-2#、3#、3-1#、5#、6#、8#、12#、13#、18#、20#、23#、25#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楼</w:t>
            </w:r>
            <w:r>
              <w:rPr>
                <w:rFonts w:hint="eastAsia" w:ascii="仿宋_GB2312"/>
                <w:sz w:val="24"/>
                <w:szCs w:val="24"/>
              </w:rPr>
              <w:t>装配率评价分值均可得5分。</w:t>
            </w:r>
          </w:p>
          <w:p>
            <w:pPr>
              <w:spacing w:line="560" w:lineRule="exact"/>
              <w:ind w:firstLine="480" w:firstLineChars="200"/>
              <w:rPr>
                <w:rFonts w:ascii="等线" w:hAnsi="等线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、本项目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1#、2#、2-1#、2-2#、3#、3-1#、5#、6#、8#、12#、13#、18#、20#、23#、25#、PT1#楼</w:t>
            </w:r>
            <w:r>
              <w:rPr>
                <w:rFonts w:hint="eastAsia" w:ascii="仿宋_GB2312"/>
                <w:sz w:val="24"/>
                <w:szCs w:val="24"/>
              </w:rPr>
              <w:t>层高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均</w:t>
            </w:r>
            <w:r>
              <w:rPr>
                <w:rFonts w:hint="eastAsia" w:ascii="仿宋_GB2312"/>
                <w:sz w:val="24"/>
                <w:szCs w:val="24"/>
              </w:rPr>
              <w:t>符合1M基本模数整倍数</w:t>
            </w:r>
            <w:r>
              <w:rPr>
                <w:rFonts w:hint="eastAsia" w:ascii="等线" w:hAnsi="等线"/>
                <w:sz w:val="24"/>
                <w:szCs w:val="24"/>
              </w:rPr>
              <w:t>，轴线尺寸及楼梯间开间及进深的轴线尺寸均符合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标准化及模数化要求，得分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分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。</w:t>
            </w:r>
          </w:p>
          <w:p>
            <w:pPr>
              <w:spacing w:line="560" w:lineRule="exact"/>
              <w:ind w:firstLine="480"/>
              <w:rPr>
                <w:rFonts w:hint="eastAsia" w:ascii="仿宋_GB2312" w:hAnsi="Times New Roman" w:cs="Times New Roman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1</w:t>
            </w:r>
            <w:r>
              <w:rPr>
                <w:rFonts w:ascii="仿宋_GB2312" w:hAnsi="仿宋_GB2312" w:cs="仿宋_GB2312"/>
                <w:sz w:val="24"/>
                <w:szCs w:val="24"/>
              </w:rPr>
              <w:t>.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</w:t>
            </w:r>
            <w:r>
              <w:rPr>
                <w:rFonts w:hint="eastAsia" w:ascii="仿宋_GB2312" w:hAnsi="Times New Roman" w:cs="Times New Roman"/>
                <w:sz w:val="24"/>
                <w:szCs w:val="24"/>
              </w:rPr>
              <w:t>本项目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val="en-US" w:eastAsia="zh-CN"/>
              </w:rPr>
              <w:t>2#、2-1#、2-2#、3#、3-1#、6#、12#、13#、20#、PT1#楼</w:t>
            </w:r>
            <w:r>
              <w:rPr>
                <w:rFonts w:hint="eastAsia" w:ascii="仿宋_GB2312" w:hAnsi="Times New Roman" w:cs="Times New Roman"/>
                <w:sz w:val="24"/>
                <w:szCs w:val="24"/>
              </w:rPr>
              <w:t>均有叠合板轮廓尺寸为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val="en-US" w:eastAsia="zh-CN"/>
              </w:rPr>
              <w:t>1805x3120</w:t>
            </w:r>
            <w:r>
              <w:rPr>
                <w:rFonts w:hint="eastAsia" w:ascii="仿宋_GB2312" w:hAnsi="Times New Roman" w:cs="Times New Roman"/>
                <w:sz w:val="24"/>
                <w:szCs w:val="24"/>
              </w:rPr>
              <w:t>的预制叠合板总个数为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val="en-US" w:eastAsia="zh-CN"/>
              </w:rPr>
              <w:t>1303</w:t>
            </w:r>
            <w:r>
              <w:rPr>
                <w:rFonts w:hint="eastAsia" w:ascii="仿宋_GB2312" w:hAnsi="Times New Roman" w:cs="Times New Roman"/>
                <w:sz w:val="24"/>
                <w:szCs w:val="24"/>
              </w:rPr>
              <w:t>，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val="en-US" w:eastAsia="zh-CN"/>
              </w:rPr>
              <w:t>1#、5#、8#、18#、23#、25#楼</w:t>
            </w:r>
            <w:r>
              <w:rPr>
                <w:rFonts w:hint="eastAsia" w:ascii="仿宋_GB2312" w:hAnsi="Times New Roman" w:cs="Times New Roman"/>
                <w:sz w:val="24"/>
                <w:szCs w:val="24"/>
              </w:rPr>
              <w:t>均有叠合板轮廓尺寸为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val="en-US" w:eastAsia="zh-CN"/>
              </w:rPr>
              <w:t>2160x2720</w:t>
            </w:r>
            <w:r>
              <w:rPr>
                <w:rFonts w:hint="eastAsia" w:ascii="仿宋_GB2312" w:hAnsi="Times New Roman" w:cs="Times New Roman"/>
                <w:sz w:val="24"/>
                <w:szCs w:val="24"/>
              </w:rPr>
              <w:t>的预制叠合板总个数为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val="en-US" w:eastAsia="zh-CN"/>
              </w:rPr>
              <w:t>565,</w:t>
            </w:r>
            <w:r>
              <w:rPr>
                <w:rFonts w:hint="eastAsia" w:ascii="仿宋_GB2312" w:hAnsi="Times New Roman" w:cs="Times New Roman"/>
                <w:sz w:val="24"/>
                <w:szCs w:val="24"/>
              </w:rPr>
              <w:t>轮廓尺寸相同的预制构件个数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val="en-US" w:eastAsia="zh-CN"/>
              </w:rPr>
              <w:t>大</w:t>
            </w:r>
            <w:r>
              <w:rPr>
                <w:rFonts w:hint="eastAsia" w:ascii="仿宋_GB2312" w:hAnsi="Times New Roman" w:cs="Times New Roman"/>
                <w:sz w:val="24"/>
                <w:szCs w:val="24"/>
              </w:rPr>
              <w:t>于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Times New Roman" w:cs="Times New Roman"/>
                <w:sz w:val="24"/>
                <w:szCs w:val="24"/>
              </w:rPr>
              <w:t>00，得分均为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Times New Roman" w:cs="Times New Roman"/>
                <w:sz w:val="24"/>
                <w:szCs w:val="24"/>
              </w:rPr>
              <w:t>分。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1.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</w:t>
            </w:r>
            <w:r>
              <w:rPr>
                <w:rFonts w:hint="eastAsia" w:ascii="仿宋_GB2312"/>
                <w:sz w:val="24"/>
                <w:szCs w:val="24"/>
              </w:rPr>
              <w:t>本项目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1#、2#、2-1#、2-2#、3#、3-1#、5#、6#、8#、12#、13#、18#、20#、23#、25#、PT1#楼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无</w:t>
            </w:r>
            <w:r>
              <w:rPr>
                <w:rFonts w:hint="eastAsia" w:ascii="仿宋_GB2312"/>
                <w:sz w:val="24"/>
                <w:szCs w:val="24"/>
              </w:rPr>
              <w:t>预制混凝土楼梯构件，得分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。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_GB2312" w:hAnsi="Times New Roman" w:cs="Times New Roman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根据</w:t>
            </w:r>
            <w:r>
              <w:rPr>
                <w:rFonts w:hint="eastAsia" w:ascii="仿宋_GB2312"/>
                <w:sz w:val="24"/>
                <w:szCs w:val="24"/>
              </w:rPr>
              <w:t>《福建省装配式建筑评价管理办法（试行）》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规定，本项目主体结构总得分分别为：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val="en-US" w:eastAsia="zh-CN"/>
              </w:rPr>
              <w:t>1#楼</w:t>
            </w:r>
            <w:r>
              <w:rPr>
                <w:rFonts w:hint="eastAsia" w:ascii="仿宋_GB2312" w:hAnsi="Times New Roman" w:cs="Times New Roman"/>
                <w:sz w:val="24"/>
                <w:szCs w:val="24"/>
              </w:rPr>
              <w:t>为</w:t>
            </w:r>
            <w:r>
              <w:rPr>
                <w:rFonts w:hint="eastAsia" w:ascii="仿宋_GB2312" w:hAnsi="Times New Roman" w:cs="Times New Roman"/>
                <w:sz w:val="24"/>
                <w:szCs w:val="24"/>
                <w:u w:val="single"/>
              </w:rPr>
              <w:t>3</w:t>
            </w:r>
            <w:r>
              <w:rPr>
                <w:rFonts w:hint="eastAsia" w:ascii="仿宋_GB2312" w:hAnsi="Times New Roman" w:cs="Times New Roman"/>
                <w:sz w:val="24"/>
                <w:szCs w:val="24"/>
                <w:u w:val="single"/>
                <w:lang w:val="en-US" w:eastAsia="zh-CN"/>
              </w:rPr>
              <w:t>2.2</w:t>
            </w:r>
            <w:r>
              <w:rPr>
                <w:rFonts w:hint="eastAsia" w:ascii="仿宋_GB2312" w:hAnsi="Times New Roman" w:cs="Times New Roman"/>
                <w:sz w:val="24"/>
                <w:szCs w:val="24"/>
                <w:u w:val="single"/>
              </w:rPr>
              <w:t>分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val="en-US" w:eastAsia="zh-CN"/>
              </w:rPr>
              <w:t>2#、2-1#、2-2#楼</w:t>
            </w:r>
            <w:r>
              <w:rPr>
                <w:rFonts w:hint="eastAsia" w:ascii="仿宋_GB2312" w:hAnsi="Times New Roman" w:cs="Times New Roman"/>
                <w:sz w:val="24"/>
                <w:szCs w:val="24"/>
              </w:rPr>
              <w:t>为</w:t>
            </w:r>
            <w:r>
              <w:rPr>
                <w:rFonts w:hint="eastAsia" w:ascii="仿宋_GB2312" w:hAnsi="Times New Roman" w:cs="Times New Roman"/>
                <w:sz w:val="24"/>
                <w:szCs w:val="24"/>
                <w:u w:val="single"/>
                <w:lang w:val="en-US" w:eastAsia="zh-CN"/>
              </w:rPr>
              <w:t>32.2</w:t>
            </w:r>
            <w:r>
              <w:rPr>
                <w:rFonts w:hint="eastAsia" w:ascii="仿宋_GB2312" w:hAnsi="Times New Roman" w:cs="Times New Roman"/>
                <w:sz w:val="24"/>
                <w:szCs w:val="24"/>
                <w:u w:val="single"/>
              </w:rPr>
              <w:t>分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val="en-US" w:eastAsia="zh-CN"/>
              </w:rPr>
              <w:t>3#、3-1#楼</w:t>
            </w:r>
            <w:r>
              <w:rPr>
                <w:rFonts w:hint="eastAsia" w:ascii="仿宋_GB2312" w:hAnsi="Times New Roman" w:cs="Times New Roman"/>
                <w:sz w:val="24"/>
                <w:szCs w:val="24"/>
              </w:rPr>
              <w:t>为</w:t>
            </w:r>
            <w:r>
              <w:rPr>
                <w:rFonts w:hint="eastAsia" w:ascii="仿宋_GB2312" w:hAnsi="Times New Roman" w:cs="Times New Roman"/>
                <w:sz w:val="24"/>
                <w:szCs w:val="24"/>
                <w:u w:val="single"/>
              </w:rPr>
              <w:t>3</w:t>
            </w:r>
            <w:r>
              <w:rPr>
                <w:rFonts w:hint="eastAsia" w:ascii="仿宋_GB2312" w:hAnsi="Times New Roman" w:cs="Times New Roman"/>
                <w:sz w:val="24"/>
                <w:szCs w:val="24"/>
                <w:u w:val="single"/>
                <w:lang w:val="en-US" w:eastAsia="zh-CN"/>
              </w:rPr>
              <w:t>2.7</w:t>
            </w:r>
            <w:r>
              <w:rPr>
                <w:rFonts w:hint="eastAsia" w:ascii="仿宋_GB2312" w:hAnsi="Times New Roman" w:cs="Times New Roman"/>
                <w:sz w:val="24"/>
                <w:szCs w:val="24"/>
                <w:u w:val="single"/>
              </w:rPr>
              <w:t>分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val="en-US" w:eastAsia="zh-CN"/>
              </w:rPr>
              <w:t>5#楼</w:t>
            </w:r>
            <w:r>
              <w:rPr>
                <w:rFonts w:hint="eastAsia" w:ascii="仿宋_GB2312" w:hAnsi="Times New Roman" w:cs="Times New Roman"/>
                <w:sz w:val="24"/>
                <w:szCs w:val="24"/>
              </w:rPr>
              <w:t>为</w:t>
            </w:r>
            <w:r>
              <w:rPr>
                <w:rFonts w:hint="eastAsia" w:ascii="仿宋_GB2312" w:hAnsi="Times New Roman" w:cs="Times New Roman"/>
                <w:sz w:val="24"/>
                <w:szCs w:val="24"/>
                <w:u w:val="single"/>
              </w:rPr>
              <w:t>3</w:t>
            </w:r>
            <w:r>
              <w:rPr>
                <w:rFonts w:hint="eastAsia" w:ascii="仿宋_GB2312" w:hAnsi="Times New Roman" w:cs="Times New Roman"/>
                <w:sz w:val="24"/>
                <w:szCs w:val="24"/>
                <w:u w:val="single"/>
                <w:lang w:val="en-US" w:eastAsia="zh-CN"/>
              </w:rPr>
              <w:t>2.3</w:t>
            </w:r>
            <w:r>
              <w:rPr>
                <w:rFonts w:hint="eastAsia" w:ascii="仿宋_GB2312" w:hAnsi="Times New Roman" w:cs="Times New Roman"/>
                <w:sz w:val="24"/>
                <w:szCs w:val="24"/>
                <w:u w:val="single"/>
              </w:rPr>
              <w:t>分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val="en-US" w:eastAsia="zh-CN"/>
              </w:rPr>
              <w:t>6#楼</w:t>
            </w:r>
            <w:r>
              <w:rPr>
                <w:rFonts w:hint="eastAsia" w:ascii="仿宋_GB2312" w:hAnsi="Times New Roman" w:cs="Times New Roman"/>
                <w:sz w:val="24"/>
                <w:szCs w:val="24"/>
              </w:rPr>
              <w:t>为</w:t>
            </w:r>
            <w:r>
              <w:rPr>
                <w:rFonts w:hint="eastAsia" w:ascii="仿宋_GB2312" w:hAnsi="Times New Roman" w:cs="Times New Roman"/>
                <w:sz w:val="24"/>
                <w:szCs w:val="24"/>
                <w:u w:val="single"/>
              </w:rPr>
              <w:t>32.</w:t>
            </w:r>
            <w:r>
              <w:rPr>
                <w:rFonts w:hint="eastAsia" w:ascii="仿宋_GB2312" w:hAnsi="Times New Roman" w:cs="Times New Roman"/>
                <w:sz w:val="24"/>
                <w:szCs w:val="24"/>
                <w:u w:val="single"/>
                <w:lang w:val="en-US" w:eastAsia="zh-CN"/>
              </w:rPr>
              <w:t>5</w:t>
            </w:r>
            <w:r>
              <w:rPr>
                <w:rFonts w:hint="eastAsia" w:ascii="仿宋_GB2312" w:hAnsi="Times New Roman" w:cs="Times New Roman"/>
                <w:sz w:val="24"/>
                <w:szCs w:val="24"/>
                <w:u w:val="single"/>
              </w:rPr>
              <w:t>分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val="en-US" w:eastAsia="zh-CN"/>
              </w:rPr>
              <w:t>8#楼</w:t>
            </w:r>
            <w:r>
              <w:rPr>
                <w:rFonts w:hint="eastAsia" w:ascii="仿宋_GB2312" w:hAnsi="Times New Roman" w:cs="Times New Roman"/>
                <w:sz w:val="24"/>
                <w:szCs w:val="24"/>
              </w:rPr>
              <w:t>为</w:t>
            </w:r>
            <w:r>
              <w:rPr>
                <w:rFonts w:hint="eastAsia" w:ascii="仿宋_GB2312" w:hAnsi="Times New Roman" w:cs="Times New Roman"/>
                <w:color w:val="auto"/>
                <w:sz w:val="24"/>
                <w:szCs w:val="24"/>
                <w:u w:val="single"/>
              </w:rPr>
              <w:t>3</w:t>
            </w:r>
            <w:r>
              <w:rPr>
                <w:rFonts w:hint="eastAsia" w:ascii="仿宋_GB2312" w:hAnsi="Times New Roman" w:cs="Times New Roman"/>
                <w:color w:val="auto"/>
                <w:sz w:val="24"/>
                <w:szCs w:val="24"/>
                <w:u w:val="single"/>
                <w:lang w:val="en-US" w:eastAsia="zh-CN"/>
              </w:rPr>
              <w:t>3</w:t>
            </w:r>
            <w:r>
              <w:rPr>
                <w:rFonts w:hint="eastAsia" w:ascii="仿宋_GB2312" w:hAnsi="Times New Roman" w:cs="Times New Roman"/>
                <w:color w:val="auto"/>
                <w:sz w:val="24"/>
                <w:szCs w:val="24"/>
                <w:u w:val="single"/>
              </w:rPr>
              <w:t>.</w:t>
            </w:r>
            <w:r>
              <w:rPr>
                <w:rFonts w:hint="eastAsia" w:ascii="仿宋_GB2312" w:hAnsi="Times New Roman" w:cs="Times New Roman"/>
                <w:color w:val="auto"/>
                <w:sz w:val="24"/>
                <w:szCs w:val="24"/>
                <w:u w:val="single"/>
                <w:lang w:val="en-US" w:eastAsia="zh-CN"/>
              </w:rPr>
              <w:t>4</w:t>
            </w:r>
            <w:r>
              <w:rPr>
                <w:rFonts w:hint="eastAsia" w:ascii="仿宋_GB2312" w:hAnsi="Times New Roman" w:cs="Times New Roman"/>
                <w:sz w:val="24"/>
                <w:szCs w:val="24"/>
                <w:u w:val="single"/>
              </w:rPr>
              <w:t>分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val="en-US" w:eastAsia="zh-CN"/>
              </w:rPr>
              <w:t>12#楼</w:t>
            </w:r>
            <w:r>
              <w:rPr>
                <w:rFonts w:hint="eastAsia" w:ascii="仿宋_GB2312" w:hAnsi="Times New Roman" w:cs="Times New Roman"/>
                <w:sz w:val="24"/>
                <w:szCs w:val="24"/>
              </w:rPr>
              <w:t>为</w:t>
            </w:r>
            <w:r>
              <w:rPr>
                <w:rFonts w:hint="eastAsia" w:ascii="仿宋_GB2312" w:hAnsi="Times New Roman" w:cs="Times New Roman"/>
                <w:sz w:val="24"/>
                <w:szCs w:val="24"/>
                <w:u w:val="single"/>
              </w:rPr>
              <w:t>33.3分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val="en-US" w:eastAsia="zh-CN"/>
              </w:rPr>
              <w:t>13#楼</w:t>
            </w:r>
            <w:r>
              <w:rPr>
                <w:rFonts w:hint="eastAsia" w:ascii="仿宋_GB2312" w:hAnsi="Times New Roman" w:cs="Times New Roman"/>
                <w:sz w:val="24"/>
                <w:szCs w:val="24"/>
              </w:rPr>
              <w:t>为</w:t>
            </w:r>
            <w:r>
              <w:rPr>
                <w:rFonts w:hint="eastAsia" w:ascii="仿宋_GB2312" w:hAnsi="Times New Roman" w:cs="Times New Roman"/>
                <w:sz w:val="24"/>
                <w:szCs w:val="24"/>
                <w:u w:val="single"/>
              </w:rPr>
              <w:t>33.3分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val="en-US" w:eastAsia="zh-CN"/>
              </w:rPr>
              <w:t>18#楼</w:t>
            </w:r>
            <w:r>
              <w:rPr>
                <w:rFonts w:hint="eastAsia" w:ascii="仿宋_GB2312" w:hAnsi="Times New Roman" w:cs="Times New Roman"/>
                <w:sz w:val="24"/>
                <w:szCs w:val="24"/>
              </w:rPr>
              <w:t>为</w:t>
            </w:r>
            <w:r>
              <w:rPr>
                <w:rFonts w:hint="eastAsia" w:ascii="仿宋_GB2312" w:hAnsi="Times New Roman" w:cs="Times New Roman"/>
                <w:sz w:val="24"/>
                <w:szCs w:val="24"/>
                <w:u w:val="single"/>
                <w:lang w:val="en-US" w:eastAsia="zh-CN"/>
              </w:rPr>
              <w:t>32.3</w:t>
            </w:r>
            <w:r>
              <w:rPr>
                <w:rFonts w:hint="eastAsia" w:ascii="仿宋_GB2312" w:hAnsi="Times New Roman" w:cs="Times New Roman"/>
                <w:sz w:val="24"/>
                <w:szCs w:val="24"/>
                <w:u w:val="single"/>
              </w:rPr>
              <w:t>分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val="en-US" w:eastAsia="zh-CN"/>
              </w:rPr>
              <w:t>20#楼</w:t>
            </w:r>
            <w:r>
              <w:rPr>
                <w:rFonts w:hint="eastAsia" w:ascii="仿宋_GB2312" w:hAnsi="Times New Roman" w:cs="Times New Roman"/>
                <w:sz w:val="24"/>
                <w:szCs w:val="24"/>
              </w:rPr>
              <w:t>为</w:t>
            </w:r>
            <w:r>
              <w:rPr>
                <w:rFonts w:hint="eastAsia" w:ascii="仿宋_GB2312" w:hAnsi="Times New Roman" w:cs="Times New Roman"/>
                <w:sz w:val="24"/>
                <w:szCs w:val="24"/>
                <w:u w:val="single"/>
                <w:lang w:val="en-US" w:eastAsia="zh-CN"/>
              </w:rPr>
              <w:t>32.5</w:t>
            </w:r>
            <w:r>
              <w:rPr>
                <w:rFonts w:hint="eastAsia" w:ascii="仿宋_GB2312" w:hAnsi="Times New Roman" w:cs="Times New Roman"/>
                <w:sz w:val="24"/>
                <w:szCs w:val="24"/>
                <w:u w:val="single"/>
              </w:rPr>
              <w:t>分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val="en-US" w:eastAsia="zh-CN"/>
              </w:rPr>
              <w:t>23#楼</w:t>
            </w:r>
            <w:r>
              <w:rPr>
                <w:rFonts w:hint="eastAsia" w:ascii="仿宋_GB2312" w:hAnsi="Times New Roman" w:cs="Times New Roman"/>
                <w:sz w:val="24"/>
                <w:szCs w:val="24"/>
                <w:u w:val="none"/>
              </w:rPr>
              <w:t>为</w:t>
            </w:r>
            <w:r>
              <w:rPr>
                <w:rFonts w:hint="eastAsia" w:ascii="仿宋_GB2312" w:hAnsi="Times New Roman" w:cs="Times New Roman"/>
                <w:sz w:val="24"/>
                <w:szCs w:val="24"/>
                <w:u w:val="single"/>
                <w:lang w:val="en-US" w:eastAsia="zh-CN"/>
              </w:rPr>
              <w:t>32.8</w:t>
            </w:r>
            <w:r>
              <w:rPr>
                <w:rFonts w:hint="eastAsia" w:ascii="仿宋_GB2312" w:hAnsi="Times New Roman" w:cs="Times New Roman"/>
                <w:sz w:val="24"/>
                <w:szCs w:val="24"/>
              </w:rPr>
              <w:t>分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val="en-US" w:eastAsia="zh-CN"/>
              </w:rPr>
              <w:t>25#楼</w:t>
            </w:r>
            <w:r>
              <w:rPr>
                <w:rFonts w:hint="eastAsia" w:ascii="仿宋_GB2312" w:hAnsi="Times New Roman" w:cs="Times New Roman"/>
                <w:sz w:val="24"/>
                <w:szCs w:val="24"/>
              </w:rPr>
              <w:t>为</w:t>
            </w:r>
            <w:r>
              <w:rPr>
                <w:rFonts w:hint="eastAsia" w:ascii="仿宋_GB2312" w:hAnsi="Times New Roman" w:cs="Times New Roman"/>
                <w:sz w:val="24"/>
                <w:szCs w:val="24"/>
                <w:u w:val="single"/>
              </w:rPr>
              <w:t>3</w:t>
            </w:r>
            <w:r>
              <w:rPr>
                <w:rFonts w:hint="eastAsia" w:ascii="仿宋_GB2312" w:hAnsi="Times New Roman" w:cs="Times New Roman"/>
                <w:sz w:val="24"/>
                <w:szCs w:val="24"/>
                <w:u w:val="single"/>
                <w:lang w:val="en-US" w:eastAsia="zh-CN"/>
              </w:rPr>
              <w:t>2.3</w:t>
            </w:r>
            <w:r>
              <w:rPr>
                <w:rFonts w:hint="eastAsia" w:ascii="仿宋_GB2312" w:hAnsi="Times New Roman" w:cs="Times New Roman"/>
                <w:sz w:val="24"/>
                <w:szCs w:val="24"/>
                <w:u w:val="single"/>
              </w:rPr>
              <w:t>分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_GB2312" w:hAnsi="Times New Roman" w:cs="Times New Roman"/>
                <w:sz w:val="24"/>
                <w:szCs w:val="24"/>
                <w:lang w:val="en-US" w:eastAsia="zh-CN"/>
              </w:rPr>
              <w:t>PT1#楼</w:t>
            </w:r>
            <w:r>
              <w:rPr>
                <w:rFonts w:hint="eastAsia" w:ascii="仿宋_GB2312" w:hAnsi="Times New Roman" w:cs="Times New Roman"/>
                <w:sz w:val="24"/>
                <w:szCs w:val="24"/>
              </w:rPr>
              <w:t>为</w:t>
            </w:r>
            <w:r>
              <w:rPr>
                <w:rFonts w:hint="eastAsia" w:ascii="仿宋_GB2312" w:hAnsi="Times New Roman" w:cs="Times New Roman"/>
                <w:sz w:val="24"/>
                <w:szCs w:val="24"/>
                <w:u w:val="single"/>
              </w:rPr>
              <w:t>3</w:t>
            </w:r>
            <w:r>
              <w:rPr>
                <w:rFonts w:hint="eastAsia" w:ascii="仿宋_GB2312" w:hAnsi="Times New Roman" w:cs="Times New Roman"/>
                <w:sz w:val="24"/>
                <w:szCs w:val="24"/>
                <w:u w:val="single"/>
                <w:lang w:val="en-US" w:eastAsia="zh-CN"/>
              </w:rPr>
              <w:t>2</w:t>
            </w:r>
            <w:r>
              <w:rPr>
                <w:rFonts w:hint="eastAsia" w:ascii="仿宋_GB2312" w:hAnsi="Times New Roman" w:cs="Times New Roman"/>
                <w:sz w:val="24"/>
                <w:szCs w:val="24"/>
                <w:u w:val="single"/>
              </w:rPr>
              <w:t>.</w:t>
            </w:r>
            <w:r>
              <w:rPr>
                <w:rFonts w:hint="eastAsia" w:ascii="仿宋_GB2312" w:hAnsi="Times New Roman" w:cs="Times New Roman"/>
                <w:sz w:val="24"/>
                <w:szCs w:val="24"/>
                <w:u w:val="single"/>
                <w:lang w:val="en-US" w:eastAsia="zh-CN"/>
              </w:rPr>
              <w:t>8</w:t>
            </w:r>
            <w:r>
              <w:rPr>
                <w:rFonts w:hint="eastAsia" w:ascii="仿宋_GB2312" w:hAnsi="Times New Roman" w:cs="Times New Roman"/>
                <w:sz w:val="24"/>
                <w:szCs w:val="24"/>
                <w:u w:val="single"/>
              </w:rPr>
              <w:t>分</w:t>
            </w:r>
            <w:r>
              <w:rPr>
                <w:rFonts w:hint="eastAsia" w:ascii="仿宋_GB2312" w:hAnsi="Times New Roman" w:cs="Times New Roman"/>
                <w:sz w:val="24"/>
                <w:szCs w:val="24"/>
              </w:rPr>
              <w:t>。</w:t>
            </w:r>
          </w:p>
          <w:p>
            <w:pPr>
              <w:spacing w:line="560" w:lineRule="exac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4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2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、围护墙和内隔墙应用情况</w:t>
            </w:r>
          </w:p>
          <w:p>
            <w:pPr>
              <w:spacing w:line="560" w:lineRule="exact"/>
              <w:ind w:firstLine="480"/>
              <w:rPr>
                <w:rFonts w:ascii="等线" w:hAnsi="等线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本项目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1#、2#、2-1#、2-2#、3#、3-1#、5#、6#、8#、12#、13#、18#、20#、23#、25#、PT1#楼</w:t>
            </w:r>
            <w:r>
              <w:rPr>
                <w:rFonts w:hint="eastAsia" w:ascii="仿宋_GB2312"/>
                <w:sz w:val="24"/>
                <w:szCs w:val="24"/>
              </w:rPr>
              <w:t>均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采用装配式内隔墙，各楼栋装配式内隔墙应用比例计算如下表：</w:t>
            </w:r>
          </w:p>
          <w:tbl>
            <w:tblPr>
              <w:tblStyle w:val="8"/>
              <w:tblW w:w="0" w:type="auto"/>
              <w:jc w:val="center"/>
              <w:tblBorders>
                <w:top w:val="single" w:color="000000" w:sz="18" w:space="0"/>
                <w:left w:val="single" w:color="000000" w:sz="18" w:space="0"/>
                <w:bottom w:val="single" w:color="000000" w:sz="18" w:space="0"/>
                <w:right w:val="single" w:color="000000" w:sz="18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01"/>
              <w:gridCol w:w="1559"/>
              <w:gridCol w:w="1268"/>
              <w:gridCol w:w="1268"/>
              <w:gridCol w:w="1268"/>
            </w:tblGrid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5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楼栋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等线" w:hAnsi="等线" w:cs="仿宋_GB2312"/>
                      <w:sz w:val="24"/>
                      <w:szCs w:val="24"/>
                    </w:rPr>
                    <w:t>装配式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内隔墙面积(㎡)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内隔墙总面积(㎡)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等线" w:hAnsi="等线" w:cs="仿宋_GB2312"/>
                      <w:sz w:val="24"/>
                      <w:szCs w:val="24"/>
                    </w:rPr>
                    <w:t>装配式内隔墙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应用比例Q</w:t>
                  </w:r>
                  <w:r>
                    <w:rPr>
                      <w:rFonts w:ascii="仿宋_GB2312" w:hAnsi="仿宋"/>
                      <w:sz w:val="24"/>
                      <w:szCs w:val="24"/>
                    </w:rPr>
                    <w:t>2</w:t>
                  </w: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c</w:t>
                  </w:r>
                  <w:r>
                    <w:rPr>
                      <w:rFonts w:ascii="仿宋_GB2312" w:hAnsi="仿宋"/>
                      <w:sz w:val="24"/>
                      <w:szCs w:val="24"/>
                    </w:rPr>
                    <w:t>(%)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rPr>
                      <w:rFonts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装配率</w:t>
                  </w:r>
                </w:p>
                <w:p>
                  <w:pPr>
                    <w:shd w:val="clear" w:color="auto" w:fill="FFFFFF"/>
                    <w:rPr>
                      <w:rFonts w:hint="eastAsia" w:ascii="仿宋_GB2312" w:hAnsi="仿宋"/>
                      <w:sz w:val="24"/>
                      <w:szCs w:val="24"/>
                    </w:rPr>
                  </w:pPr>
                  <w:r>
                    <w:rPr>
                      <w:rFonts w:hint="eastAsia" w:ascii="仿宋_GB2312" w:hAnsi="仿宋"/>
                      <w:sz w:val="24"/>
                      <w:szCs w:val="24"/>
                    </w:rPr>
                    <w:t>评价分值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" w:hAnsi="仿宋" w:eastAsia="仿宋" w:cs="宋体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1#楼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 xml:space="preserve">3013.00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 xml:space="preserve">3657.80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82.37%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  <w:t>10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" w:hAnsi="仿宋" w:eastAsia="仿宋" w:cs="宋体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2#、2-1#、2-2#楼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 xml:space="preserve">2556.13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 xml:space="preserve">3154.60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81.03%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  <w:t>10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" w:hAnsi="仿宋" w:eastAsia="仿宋" w:cs="宋体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3#、3-1#楼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 xml:space="preserve">3234.00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 xml:space="preserve">4006.92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80.71%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  <w:t>10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" w:hAnsi="仿宋" w:eastAsia="仿宋" w:cs="宋体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5#楼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 xml:space="preserve">3345.28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 xml:space="preserve">3962.20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84.43%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 w:eastAsia="仿宋_GB2312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ascii="仿宋_GB2312" w:hAnsi="仿宋"/>
                      <w:sz w:val="24"/>
                      <w:szCs w:val="24"/>
                    </w:rPr>
                    <w:t>10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" w:hAnsi="仿宋" w:eastAsia="仿宋" w:cs="宋体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6#楼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 xml:space="preserve">4658.25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 xml:space="preserve">5475.23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85.08%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 w:eastAsia="仿宋_GB2312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ascii="仿宋_GB2312" w:hAnsi="仿宋"/>
                      <w:sz w:val="24"/>
                      <w:szCs w:val="24"/>
                    </w:rPr>
                    <w:t>10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" w:hAnsi="仿宋" w:eastAsia="仿宋" w:cs="宋体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8#楼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 xml:space="preserve">3717.00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 xml:space="preserve">4594.36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80.90%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 w:eastAsia="仿宋_GB2312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ascii="仿宋_GB2312" w:hAnsi="仿宋"/>
                      <w:sz w:val="24"/>
                      <w:szCs w:val="24"/>
                    </w:rPr>
                    <w:t>10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" w:hAnsi="仿宋" w:eastAsia="仿宋" w:cs="宋体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12#楼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 xml:space="preserve">2496.65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 xml:space="preserve">3092.43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80.73%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 w:eastAsia="仿宋_GB2312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ascii="仿宋_GB2312" w:hAnsi="仿宋"/>
                      <w:sz w:val="24"/>
                      <w:szCs w:val="24"/>
                    </w:rPr>
                    <w:t>10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" w:hAnsi="仿宋" w:eastAsia="仿宋" w:cs="宋体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13#楼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 xml:space="preserve">2488.65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 xml:space="preserve">3074.23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80.95%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 w:eastAsia="仿宋_GB2312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ascii="仿宋_GB2312" w:hAnsi="仿宋"/>
                      <w:sz w:val="24"/>
                      <w:szCs w:val="24"/>
                    </w:rPr>
                    <w:t>10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" w:hAnsi="仿宋" w:eastAsia="仿宋" w:cs="宋体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18#楼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 xml:space="preserve">3013.00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 xml:space="preserve">3657.80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82.37%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 w:eastAsia="仿宋_GB2312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ascii="仿宋_GB2312" w:hAnsi="仿宋"/>
                      <w:sz w:val="24"/>
                      <w:szCs w:val="24"/>
                    </w:rPr>
                    <w:t>10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" w:hAnsi="仿宋" w:eastAsia="仿宋" w:cs="宋体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20#楼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 xml:space="preserve">4658.25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 xml:space="preserve">5475.23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85.08%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 w:eastAsia="仿宋_GB2312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ascii="仿宋_GB2312" w:hAnsi="仿宋"/>
                      <w:sz w:val="24"/>
                      <w:szCs w:val="24"/>
                    </w:rPr>
                    <w:t>10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" w:hAnsi="仿宋" w:eastAsia="仿宋" w:cs="宋体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23#楼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 xml:space="preserve">2921.88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 xml:space="preserve">3620.22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80.71%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 w:eastAsia="仿宋_GB2312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ascii="仿宋_GB2312" w:hAnsi="仿宋"/>
                      <w:sz w:val="24"/>
                      <w:szCs w:val="24"/>
                    </w:rPr>
                    <w:t>10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" w:hAnsi="仿宋" w:eastAsia="仿宋" w:cs="宋体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25#楼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 xml:space="preserve">3013.00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 xml:space="preserve">3657.80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82.37%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ascii="仿宋_GB2312" w:hAnsi="仿宋" w:eastAsia="仿宋_GB2312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ascii="仿宋_GB2312" w:hAnsi="仿宋"/>
                      <w:sz w:val="24"/>
                      <w:szCs w:val="24"/>
                    </w:rPr>
                    <w:t>10</w:t>
                  </w:r>
                </w:p>
              </w:tc>
            </w:tr>
            <w:tr>
              <w:tblPrEx>
                <w:tblBorders>
                  <w:top w:val="single" w:color="000000" w:sz="18" w:space="0"/>
                  <w:left w:val="single" w:color="000000" w:sz="18" w:space="0"/>
                  <w:bottom w:val="single" w:color="000000" w:sz="18" w:space="0"/>
                  <w:right w:val="single" w:color="000000" w:sz="18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7" w:hRule="atLeast"/>
                <w:jc w:val="center"/>
              </w:trPr>
              <w:tc>
                <w:tcPr>
                  <w:tcW w:w="2101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" w:hAnsi="仿宋" w:eastAsia="仿宋" w:cs="宋体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宋体"/>
                      <w:sz w:val="24"/>
                      <w:szCs w:val="24"/>
                      <w:lang w:val="en-US" w:eastAsia="zh-CN"/>
                    </w:rPr>
                    <w:t>PT1#楼</w:t>
                  </w:r>
                </w:p>
              </w:tc>
              <w:tc>
                <w:tcPr>
                  <w:tcW w:w="1559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 xml:space="preserve">107.45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 xml:space="preserve">133.58 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default" w:ascii="仿宋_GB2312" w:hAnsi="仿宋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仿宋_GB2312" w:hAnsi="仿宋" w:cs="Times New Roman"/>
                      <w:sz w:val="24"/>
                      <w:szCs w:val="24"/>
                      <w:lang w:val="en-US" w:eastAsia="zh-CN"/>
                    </w:rPr>
                    <w:t>80.44%</w:t>
                  </w:r>
                </w:p>
              </w:tc>
              <w:tc>
                <w:tcPr>
                  <w:tcW w:w="126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vAlign w:val="center"/>
                </w:tcPr>
                <w:p>
                  <w:pPr>
                    <w:shd w:val="clear" w:color="auto" w:fill="FFFFFF"/>
                    <w:jc w:val="center"/>
                    <w:rPr>
                      <w:rFonts w:hint="eastAsia" w:ascii="仿宋_GB2312" w:hAnsi="仿宋" w:eastAsia="仿宋_GB2312" w:cs="Times New Roman"/>
                      <w:kern w:val="2"/>
                      <w:sz w:val="24"/>
                      <w:szCs w:val="24"/>
                      <w:lang w:val="en-US" w:eastAsia="zh-CN" w:bidi="ar-SA"/>
                    </w:rPr>
                  </w:pPr>
                  <w:r>
                    <w:rPr>
                      <w:rFonts w:ascii="仿宋_GB2312" w:hAnsi="仿宋"/>
                      <w:sz w:val="24"/>
                      <w:szCs w:val="24"/>
                    </w:rPr>
                    <w:t>10</w:t>
                  </w:r>
                </w:p>
              </w:tc>
            </w:tr>
          </w:tbl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等线" w:hAnsi="等线" w:cs="宋体"/>
                <w:sz w:val="24"/>
                <w:szCs w:val="24"/>
              </w:rPr>
              <w:t>本项</w:t>
            </w:r>
            <w:r>
              <w:rPr>
                <w:rFonts w:hint="eastAsia" w:ascii="等线" w:hAnsi="等线" w:cs="宋体"/>
                <w:sz w:val="24"/>
                <w:szCs w:val="24"/>
                <w:lang w:val="en-US" w:eastAsia="zh-CN"/>
              </w:rPr>
              <w:t>目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1#、2#、2-1#、2-2#、3#、3-1#、5#、6#、8#、12#、13#、18#、20#、23#、25#、PT1#楼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装配式内隔墙应用比例均大于</w:t>
            </w:r>
            <w:r>
              <w:rPr>
                <w:rFonts w:ascii="仿宋_GB2312"/>
                <w:sz w:val="24"/>
                <w:szCs w:val="24"/>
              </w:rPr>
              <w:t>80</w:t>
            </w:r>
            <w:r>
              <w:rPr>
                <w:rFonts w:hint="eastAsia" w:ascii="仿宋_GB2312"/>
                <w:sz w:val="24"/>
                <w:szCs w:val="24"/>
              </w:rPr>
              <w:t>%</w:t>
            </w:r>
            <w:r>
              <w:rPr>
                <w:rFonts w:hint="eastAsia" w:ascii="等线" w:hAnsi="等线" w:cs="仿宋_GB2312"/>
                <w:sz w:val="24"/>
                <w:szCs w:val="24"/>
              </w:rPr>
              <w:t>，根据</w:t>
            </w:r>
            <w:r>
              <w:rPr>
                <w:rFonts w:hint="eastAsia" w:ascii="仿宋_GB2312"/>
                <w:sz w:val="24"/>
                <w:szCs w:val="24"/>
              </w:rPr>
              <w:t>《福建省装配式建筑评价管理办法（试行）》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规定，本项目</w:t>
            </w:r>
            <w:r>
              <w:rPr>
                <w:rFonts w:hint="eastAsia" w:ascii="等线" w:hAnsi="等线" w:cs="仿宋_GB2312"/>
                <w:sz w:val="24"/>
                <w:szCs w:val="24"/>
                <w:lang w:eastAsia="zh-CN"/>
              </w:rPr>
              <w:t>围护墙和内隔墙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得分均为1</w:t>
            </w:r>
            <w:r>
              <w:rPr>
                <w:rFonts w:ascii="仿宋_GB2312" w:hAnsi="仿宋_GB2312" w:cs="仿宋_GB2312"/>
                <w:sz w:val="24"/>
                <w:szCs w:val="24"/>
              </w:rPr>
              <w:t>0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分。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4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3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、装修和设备管线应用情况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全装修应满足下列要求：建筑功能空间的固定面装修和设备设施安装全部完成，达到建筑使用功能和性能的基本要求。其中，对于教育、医疗等建筑类型，在设计阶段即可明确建筑功能空间在使用和性能方面的要求和标准，其所有区域均视为可装修区域。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 </w:t>
            </w:r>
            <w:r>
              <w:rPr>
                <w:rFonts w:ascii="宋体" w:hAnsi="宋体" w:cs="宋体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本项目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各装配式楼栋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均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未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采用全装修，因此此项得分为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分。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4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4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、技术创新应用情况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4.1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、本项目在设计阶段及施工阶段均采用B</w:t>
            </w:r>
            <w:r>
              <w:rPr>
                <w:rFonts w:ascii="仿宋_GB2312" w:hAnsi="仿宋_GB2312" w:cs="仿宋_GB2312"/>
                <w:sz w:val="24"/>
                <w:szCs w:val="24"/>
              </w:rPr>
              <w:t>IM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技术，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在设计阶段提供：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建模精度达到LOD3.0的全专业BIM模型，得1分；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满足钢筋碰撞检查要求的预制构件BIM模型及碰撞检查报告，得 2 分;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在施工阶段提供（详建设单位承诺函）：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评分项相关的预制构件深化设计BIM模型（建模精度达到LOD4.0），得2分；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内隔墙BIM模型（建模精度达到LOD4.0），得1分；</w:t>
            </w:r>
          </w:p>
          <w:p>
            <w:pPr>
              <w:spacing w:line="560" w:lineRule="exact"/>
              <w:ind w:firstLine="480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根据</w:t>
            </w:r>
            <w:r>
              <w:rPr>
                <w:rFonts w:hint="eastAsia" w:ascii="仿宋_GB2312"/>
                <w:sz w:val="24"/>
                <w:szCs w:val="24"/>
              </w:rPr>
              <w:t>《福建省装配式建筑评价管理办法（试行）》规定可得分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/>
                <w:sz w:val="24"/>
                <w:szCs w:val="24"/>
              </w:rPr>
              <w:t>分；</w:t>
            </w:r>
          </w:p>
          <w:p>
            <w:pPr>
              <w:spacing w:line="560" w:lineRule="exact"/>
              <w:ind w:firstLine="480"/>
              <w:rPr>
                <w:rFonts w:ascii="仿宋_GB2312" w:hAnsi="仿宋_GB2312" w:cs="仿宋_GB2312"/>
                <w:sz w:val="24"/>
                <w:szCs w:val="24"/>
              </w:rPr>
            </w:pPr>
            <w:r>
              <w:rPr>
                <w:rFonts w:ascii="仿宋_GB2312" w:hAnsi="仿宋_GB2312" w:cs="仿宋_GB2312"/>
                <w:sz w:val="24"/>
                <w:szCs w:val="24"/>
              </w:rPr>
              <w:t>4.2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、本项目采用可追溯管理系统（详建设单位承诺函），得分2分；</w:t>
            </w:r>
          </w:p>
          <w:p>
            <w:pPr>
              <w:spacing w:line="560" w:lineRule="exact"/>
              <w:ind w:firstLine="480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</w:rPr>
              <w:t>本项目技术创新应用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1#、2#、2-1#、2-2#、3#、3-1#、5#、6#、8#、12#、13#、18#、20#、23#、25#、PT1#楼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总得分均为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6+2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=</w:t>
            </w:r>
            <w:r>
              <w:rPr>
                <w:rFonts w:hint="eastAsia" w:ascii="仿宋_GB2312" w:hAnsi="仿宋_GB2312" w:cs="仿宋_GB2312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_GB2312" w:hAnsi="仿宋_GB2312" w:cs="仿宋_GB2312"/>
                <w:sz w:val="24"/>
                <w:szCs w:val="24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9464" w:type="dxa"/>
            <w:gridSpan w:val="4"/>
          </w:tcPr>
          <w:p>
            <w:pPr>
              <w:spacing w:line="54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五、申报单位概况</w:t>
            </w:r>
            <w:r>
              <w:rPr>
                <w:rFonts w:ascii="黑体" w:hAnsi="黑体" w:eastAsia="黑体"/>
                <w:bCs/>
                <w:sz w:val="30"/>
                <w:szCs w:val="30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（多个单位联合申报应分别介绍）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7" w:hRule="atLeast"/>
        </w:trPr>
        <w:tc>
          <w:tcPr>
            <w:tcW w:w="9464" w:type="dxa"/>
            <w:gridSpan w:val="4"/>
          </w:tcPr>
          <w:p>
            <w:pPr>
              <w:spacing w:line="560" w:lineRule="exact"/>
              <w:ind w:firstLine="480" w:firstLineChars="200"/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0"/>
                <w:lang w:val="en-US" w:eastAsia="zh-CN" w:bidi="ar-SA"/>
              </w:rPr>
              <w:t>福州左连房地产开发有限公司成立于2022年12月22日，经营范围包括许可项目：房地产开发经营。（依法须经批准的项目，经相关部门批准后方可开展经营活动，具体经营项目以相关部门批准文件或许可证件为准）一般项目：非居住房地产租赁；住房租赁；物业管理；园区管理服务。（除依法须经批准的项目外，凭营业执照依法自主开展经营活动）</w:t>
            </w:r>
          </w:p>
          <w:p>
            <w:pPr>
              <w:spacing w:line="56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sz w:val="24"/>
                <w:szCs w:val="24"/>
              </w:rPr>
            </w:pPr>
          </w:p>
          <w:p>
            <w:pPr>
              <w:spacing w:line="560" w:lineRule="exact"/>
              <w:rPr>
                <w:rFonts w:ascii="宋体" w:hAnsi="宋体" w:cs="宋体"/>
                <w:b/>
                <w:bCs/>
                <w:sz w:val="30"/>
                <w:szCs w:val="30"/>
              </w:rPr>
            </w:pPr>
          </w:p>
          <w:p>
            <w:pPr>
              <w:spacing w:line="560" w:lineRule="exact"/>
              <w:rPr>
                <w:rFonts w:hint="eastAsia" w:ascii="宋体" w:hAnsi="宋体" w:cs="宋体"/>
                <w:b/>
                <w:bCs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4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六、项目主要参加人员</w:t>
            </w:r>
            <w:r>
              <w:rPr>
                <w:rFonts w:hint="eastAsia" w:ascii="仿宋_GB2312" w:hAnsi="宋体"/>
                <w:sz w:val="24"/>
              </w:rPr>
              <w:t>（包括建设、代建、工程总承包、设计、主要构件生产、施工、监理、咨询单位技术负责人）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宋体" w:hAnsi="宋体" w:cs="宋体"/>
                <w:sz w:val="24"/>
              </w:rPr>
              <w:t>姓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名</w:t>
            </w:r>
          </w:p>
        </w:tc>
        <w:tc>
          <w:tcPr>
            <w:tcW w:w="2029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宋体" w:hAnsi="宋体" w:cs="宋体"/>
                <w:sz w:val="24"/>
              </w:rPr>
              <w:t>职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务</w:t>
            </w:r>
          </w:p>
        </w:tc>
        <w:tc>
          <w:tcPr>
            <w:tcW w:w="1940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宋体" w:hAnsi="宋体" w:cs="宋体"/>
                <w:sz w:val="24"/>
              </w:rPr>
              <w:t>职</w:t>
            </w:r>
            <w:r>
              <w:rPr>
                <w:rFonts w:ascii="宋体" w:hAnsi="宋体" w:cs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sz w:val="24"/>
              </w:rPr>
              <w:t>称</w:t>
            </w:r>
          </w:p>
        </w:tc>
        <w:tc>
          <w:tcPr>
            <w:tcW w:w="3827" w:type="dxa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宋体" w:hAnsi="宋体" w:cs="宋体"/>
                <w:sz w:val="24"/>
              </w:rPr>
              <w:t>承担主要工作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spacing w:line="560" w:lineRule="exact"/>
              <w:jc w:val="center"/>
              <w:rPr>
                <w:rFonts w:hint="eastAsia" w:ascii="仿宋_GB2312"/>
                <w:sz w:val="24"/>
              </w:rPr>
            </w:pPr>
            <w:bookmarkStart w:id="0" w:name="_GoBack"/>
            <w:bookmarkEnd w:id="0"/>
          </w:p>
        </w:tc>
        <w:tc>
          <w:tcPr>
            <w:tcW w:w="2029" w:type="dxa"/>
          </w:tcPr>
          <w:p>
            <w:pPr>
              <w:spacing w:line="560" w:lineRule="exact"/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940" w:type="dxa"/>
          </w:tcPr>
          <w:p>
            <w:pPr>
              <w:spacing w:line="560" w:lineRule="exact"/>
              <w:jc w:val="center"/>
              <w:rPr>
                <w:rFonts w:hint="eastAsia" w:ascii="仿宋_GB2312"/>
                <w:sz w:val="24"/>
                <w:szCs w:val="22"/>
              </w:rPr>
            </w:pPr>
          </w:p>
        </w:tc>
        <w:tc>
          <w:tcPr>
            <w:tcW w:w="3827" w:type="dxa"/>
          </w:tcPr>
          <w:p>
            <w:pPr>
              <w:spacing w:line="560" w:lineRule="exact"/>
              <w:jc w:val="center"/>
              <w:rPr>
                <w:rFonts w:hint="eastAsia" w:ascii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spacing w:line="560" w:lineRule="exact"/>
              <w:rPr>
                <w:rFonts w:hint="eastAsia" w:ascii="仿宋_GB2312" w:hAnsi="仿宋_GB2312" w:cs="仿宋_GB2312"/>
                <w:color w:val="FF0000"/>
                <w:sz w:val="30"/>
              </w:rPr>
            </w:pPr>
          </w:p>
        </w:tc>
        <w:tc>
          <w:tcPr>
            <w:tcW w:w="2029" w:type="dxa"/>
          </w:tcPr>
          <w:p>
            <w:pPr>
              <w:spacing w:line="560" w:lineRule="exact"/>
              <w:rPr>
                <w:rFonts w:hint="eastAsia" w:ascii="仿宋_GB2312" w:hAnsi="仿宋_GB2312" w:cs="仿宋_GB2312"/>
                <w:color w:val="FF0000"/>
                <w:sz w:val="30"/>
              </w:rPr>
            </w:pPr>
          </w:p>
        </w:tc>
        <w:tc>
          <w:tcPr>
            <w:tcW w:w="1940" w:type="dxa"/>
          </w:tcPr>
          <w:p>
            <w:pPr>
              <w:spacing w:line="560" w:lineRule="exact"/>
              <w:rPr>
                <w:rFonts w:hint="eastAsia" w:ascii="仿宋_GB2312" w:hAnsi="仿宋_GB2312" w:cs="仿宋_GB2312"/>
                <w:color w:val="FF0000"/>
                <w:sz w:val="30"/>
              </w:rPr>
            </w:pPr>
          </w:p>
        </w:tc>
        <w:tc>
          <w:tcPr>
            <w:tcW w:w="3827" w:type="dxa"/>
          </w:tcPr>
          <w:p>
            <w:pPr>
              <w:spacing w:line="560" w:lineRule="exact"/>
              <w:rPr>
                <w:rFonts w:hint="eastAsia" w:ascii="仿宋_GB2312" w:hAnsi="仿宋_GB2312" w:cs="仿宋_GB2312"/>
                <w:color w:val="FF0000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4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七、项目综合效益分析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4"/>
          </w:tcPr>
          <w:p>
            <w:pPr>
              <w:spacing w:line="540" w:lineRule="exact"/>
              <w:ind w:firstLine="480" w:firstLineChars="200"/>
              <w:rPr>
                <w:rFonts w:ascii="仿宋_GB2312" w:hAnsi="仿宋_GB2312" w:cs="仿宋_GB2312"/>
                <w:sz w:val="24"/>
              </w:rPr>
            </w:pPr>
            <w:r>
              <w:rPr>
                <w:rFonts w:hint="eastAsia" w:ascii="仿宋_GB2312"/>
                <w:sz w:val="24"/>
                <w:szCs w:val="22"/>
              </w:rPr>
              <w:t>本项目位于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福州市晋安区</w:t>
            </w:r>
            <w:r>
              <w:rPr>
                <w:rFonts w:hint="eastAsia" w:ascii="仿宋_GB2312"/>
                <w:sz w:val="24"/>
                <w:szCs w:val="22"/>
              </w:rPr>
              <w:t>。</w:t>
            </w:r>
            <w:r>
              <w:rPr>
                <w:rFonts w:hint="eastAsia" w:ascii="仿宋_GB2312" w:hAnsi="仿宋_GB2312" w:cs="仿宋_GB2312"/>
                <w:sz w:val="24"/>
              </w:rPr>
              <w:t>结构类型为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装</w:t>
            </w:r>
            <w:r>
              <w:rPr>
                <w:rFonts w:hint="eastAsia" w:ascii="仿宋_GB2312"/>
                <w:sz w:val="24"/>
                <w:szCs w:val="24"/>
              </w:rPr>
              <w:t>配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式</w:t>
            </w:r>
            <w:r>
              <w:rPr>
                <w:rFonts w:hint="eastAsia" w:ascii="仿宋_GB2312" w:hAnsi="仿宋_GB2312" w:cs="仿宋_GB2312"/>
                <w:sz w:val="24"/>
              </w:rPr>
              <w:t>混凝土</w:t>
            </w:r>
            <w:r>
              <w:rPr>
                <w:rFonts w:hint="eastAsia" w:ascii="仿宋_GB2312"/>
                <w:sz w:val="24"/>
                <w:szCs w:val="24"/>
              </w:rPr>
              <w:t>结构</w:t>
            </w:r>
            <w:r>
              <w:rPr>
                <w:rFonts w:hint="eastAsia" w:ascii="仿宋_GB2312" w:hAnsi="仿宋_GB2312" w:cs="仿宋_GB2312"/>
                <w:sz w:val="24"/>
              </w:rPr>
              <w:t>。</w:t>
            </w:r>
          </w:p>
          <w:p>
            <w:pPr>
              <w:spacing w:line="560" w:lineRule="exact"/>
              <w:ind w:firstLine="480" w:firstLineChars="200"/>
              <w:rPr>
                <w:rFonts w:hint="eastAsia" w:ascii="仿宋_GB2312"/>
                <w:sz w:val="24"/>
                <w:szCs w:val="22"/>
              </w:rPr>
            </w:pPr>
            <w:r>
              <w:rPr>
                <w:rFonts w:hint="eastAsia" w:ascii="仿宋_GB2312"/>
                <w:sz w:val="24"/>
                <w:szCs w:val="22"/>
              </w:rPr>
              <w:t>装配式方案采用</w:t>
            </w:r>
            <w:r>
              <w:rPr>
                <w:rFonts w:hint="eastAsia" w:ascii="仿宋_GB2312"/>
                <w:sz w:val="24"/>
                <w:szCs w:val="22"/>
                <w:lang w:val="en-US" w:eastAsia="zh-CN"/>
              </w:rPr>
              <w:t>预制</w:t>
            </w:r>
            <w:r>
              <w:rPr>
                <w:rFonts w:hint="eastAsia" w:ascii="仿宋_GB2312"/>
                <w:sz w:val="24"/>
                <w:szCs w:val="22"/>
              </w:rPr>
              <w:t>叠合板</w:t>
            </w:r>
            <w:r>
              <w:rPr>
                <w:rFonts w:hint="eastAsia" w:ascii="仿宋_GB2312"/>
                <w:sz w:val="24"/>
                <w:szCs w:val="24"/>
              </w:rPr>
              <w:t>、</w:t>
            </w:r>
            <w:r>
              <w:rPr>
                <w:rFonts w:hint="eastAsia" w:ascii="仿宋_GB2312" w:hAnsi="Times New Roman" w:cs="Times New Roman"/>
                <w:sz w:val="24"/>
                <w:szCs w:val="22"/>
                <w:lang w:val="en-US" w:eastAsia="zh-CN"/>
              </w:rPr>
              <w:t>预制飘窗盖板、</w:t>
            </w:r>
            <w:r>
              <w:rPr>
                <w:rFonts w:hint="eastAsia" w:ascii="仿宋_GB2312"/>
                <w:sz w:val="24"/>
                <w:szCs w:val="22"/>
              </w:rPr>
              <w:t>装配式内隔墙等较成熟地体系及技术手段，设计阶段及施工阶段均采用BIM技术。</w:t>
            </w:r>
          </w:p>
          <w:p>
            <w:pPr>
              <w:spacing w:line="540" w:lineRule="exact"/>
              <w:ind w:firstLine="480" w:firstLineChars="200"/>
              <w:rPr>
                <w:rFonts w:hint="eastAsia" w:ascii="仿宋_GB2312"/>
                <w:sz w:val="24"/>
                <w:szCs w:val="22"/>
              </w:rPr>
            </w:pPr>
            <w:r>
              <w:rPr>
                <w:rFonts w:hint="eastAsia" w:ascii="仿宋_GB2312"/>
                <w:sz w:val="24"/>
                <w:szCs w:val="22"/>
              </w:rPr>
              <w:t>设计遵循少规格、多组合的原则，力求做到安全适用、技术先进、经济合理、质量可靠。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4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八、申报单位意见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4"/>
          </w:tcPr>
          <w:p>
            <w:pPr>
              <w:spacing w:line="560" w:lineRule="exact"/>
              <w:ind w:firstLine="480" w:firstLineChars="200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本项目自评可满足《福建省装配式建筑评价管理办法（试行）》关于装配式建筑的要求，申请设计阶段</w:t>
            </w:r>
            <w:r>
              <w:rPr>
                <w:rFonts w:hint="eastAsia" w:ascii="仿宋_GB2312" w:hAnsi="仿宋_GB2312" w:cs="仿宋_GB2312"/>
                <w:sz w:val="24"/>
                <w:lang w:val="en-US" w:eastAsia="zh-CN"/>
              </w:rPr>
              <w:t>预评价为</w:t>
            </w:r>
            <w:r>
              <w:rPr>
                <w:rFonts w:hint="eastAsia" w:ascii="仿宋_GB2312" w:hAnsi="仿宋_GB2312" w:cs="仿宋_GB2312"/>
                <w:sz w:val="24"/>
              </w:rPr>
              <w:t>装配式建筑。</w:t>
            </w: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ind w:firstLine="6840" w:firstLineChars="285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（盖章）</w:t>
            </w:r>
          </w:p>
          <w:p>
            <w:pPr>
              <w:ind w:firstLine="6840" w:firstLineChars="2850"/>
              <w:rPr>
                <w:rFonts w:hint="eastAsia" w:ascii="宋体" w:hAnsi="宋体" w:cs="宋体"/>
                <w:sz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ascii="宋体" w:hAnsi="宋体" w:cs="宋体"/>
                <w:sz w:val="24"/>
              </w:rPr>
              <w:t xml:space="preserve">                                             </w:t>
            </w:r>
            <w:r>
              <w:rPr>
                <w:rFonts w:hint="eastAsia" w:ascii="宋体" w:hAnsi="宋体" w:cs="宋体"/>
                <w:sz w:val="24"/>
              </w:rPr>
              <w:t xml:space="preserve">        </w:t>
            </w:r>
            <w:r>
              <w:rPr>
                <w:rFonts w:ascii="宋体" w:hAnsi="宋体" w:cs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 w:cs="宋体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 w:cs="宋体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4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九、专家组意见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4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24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4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hint="eastAsia" w:ascii="黑体" w:hAnsi="黑体" w:eastAsia="黑体"/>
                <w:bCs/>
                <w:sz w:val="30"/>
                <w:szCs w:val="30"/>
              </w:rPr>
              <w:t>十、设区市住房城乡建设主管部门意见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4" w:type="dxa"/>
            <w:gridSpan w:val="4"/>
          </w:tcPr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</w:p>
          <w:p>
            <w:pPr>
              <w:ind w:firstLine="6480" w:firstLineChars="2700"/>
              <w:rPr>
                <w:rFonts w:ascii="宋体" w:eastAsia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（盖章）</w:t>
            </w:r>
          </w:p>
          <w:p>
            <w:pPr>
              <w:rPr>
                <w:rFonts w:ascii="宋体" w:eastAsia="宋体" w:cs="宋体"/>
                <w:sz w:val="24"/>
              </w:rPr>
            </w:pPr>
          </w:p>
          <w:p>
            <w:pPr>
              <w:spacing w:line="560" w:lineRule="exact"/>
              <w:rPr>
                <w:rFonts w:hint="eastAsia" w:ascii="仿宋_GB2312" w:hAnsi="仿宋_GB2312" w:cs="仿宋_GB2312"/>
                <w:sz w:val="30"/>
              </w:rPr>
            </w:pPr>
            <w:r>
              <w:rPr>
                <w:rFonts w:ascii="宋体" w:hAnsi="宋体" w:cs="宋体"/>
                <w:sz w:val="24"/>
              </w:rPr>
              <w:t xml:space="preserve">                                            </w:t>
            </w:r>
            <w:r>
              <w:rPr>
                <w:rFonts w:hint="eastAsia" w:ascii="宋体" w:hAnsi="宋体" w:cs="宋体"/>
                <w:sz w:val="24"/>
              </w:rPr>
              <w:t xml:space="preserve">          </w:t>
            </w:r>
            <w:r>
              <w:rPr>
                <w:rFonts w:ascii="宋体" w:hAnsi="宋体" w:cs="宋体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</w:rPr>
              <w:t>年</w:t>
            </w:r>
            <w:r>
              <w:rPr>
                <w:rFonts w:ascii="宋体" w:hAnsi="宋体" w:cs="宋体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</w:rPr>
              <w:t>月</w:t>
            </w:r>
            <w:r>
              <w:rPr>
                <w:rFonts w:ascii="宋体" w:hAnsi="宋体" w:cs="宋体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sz w:val="24"/>
              </w:rPr>
              <w:t>日</w:t>
            </w:r>
          </w:p>
        </w:tc>
      </w:tr>
    </w:tbl>
    <w:p/>
    <w:p>
      <w:pPr>
        <w:rPr>
          <w:rFonts w:hint="eastAsia" w:ascii="宋体" w:eastAsia="宋体" w:cs="宋体"/>
          <w:szCs w:val="32"/>
        </w:rPr>
        <w:sectPr>
          <w:footerReference r:id="rId3" w:type="default"/>
          <w:footerReference r:id="rId4" w:type="even"/>
          <w:pgSz w:w="11906" w:h="16838"/>
          <w:pgMar w:top="1418" w:right="1418" w:bottom="1418" w:left="1418" w:header="851" w:footer="992" w:gutter="0"/>
          <w:pgNumType w:start="2"/>
          <w:cols w:space="720" w:num="1"/>
        </w:sectPr>
      </w:pPr>
    </w:p>
    <w:p>
      <w:pPr>
        <w:pStyle w:val="18"/>
        <w:spacing w:line="360" w:lineRule="auto"/>
        <w:ind w:firstLine="0" w:firstLineChars="0"/>
        <w:rPr>
          <w:rFonts w:hint="eastAsia" w:ascii="仿宋_GB2312" w:hAnsi="仿宋_GB2312" w:cs="仿宋_GB2312"/>
          <w:szCs w:val="32"/>
        </w:rPr>
      </w:pPr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440" w:right="1797" w:bottom="1440" w:left="1797" w:header="851" w:footer="992" w:gutter="0"/>
      <w:pgNumType w:fmt="numberInDash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汉仪细等线繁">
    <w:altName w:val="宋体"/>
    <w:panose1 w:val="02010600000101010101"/>
    <w:charset w:val="86"/>
    <w:family w:val="auto"/>
    <w:pitch w:val="default"/>
    <w:sig w:usb0="00000000" w:usb1="00000000" w:usb2="00000002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1"/>
        <w:rFonts w:asci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11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11"/>
        <w:rFonts w:ascii="宋体" w:hAnsi="宋体"/>
        <w:sz w:val="28"/>
        <w:szCs w:val="28"/>
      </w:rPr>
      <w:t>6</w:t>
    </w:r>
    <w:r>
      <w:rPr>
        <w:rFonts w:ascii="宋体" w:hAnsi="宋体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>
    <w:pPr>
      <w:pStyle w:val="5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page" w:x="1875" w:y="-44"/>
      <w:ind w:right="320" w:rightChars="100"/>
      <w:rPr>
        <w:rStyle w:val="11"/>
        <w:rFonts w:hint="eastAsia" w:ascii="宋体"/>
        <w:sz w:val="28"/>
        <w:szCs w:val="28"/>
      </w:rPr>
    </w:pPr>
    <w:r>
      <w:rPr>
        <w:rFonts w:hint="eastAsia" w:ascii="宋体"/>
        <w:sz w:val="28"/>
        <w:szCs w:val="28"/>
      </w:rPr>
      <w:fldChar w:fldCharType="begin"/>
    </w:r>
    <w:r>
      <w:rPr>
        <w:rStyle w:val="11"/>
        <w:rFonts w:hint="eastAsia" w:ascii="宋体"/>
        <w:sz w:val="28"/>
        <w:szCs w:val="28"/>
      </w:rPr>
      <w:instrText xml:space="preserve">PAGE  </w:instrText>
    </w:r>
    <w:r>
      <w:rPr>
        <w:rFonts w:hint="eastAsia" w:ascii="宋体"/>
        <w:sz w:val="28"/>
        <w:szCs w:val="28"/>
      </w:rPr>
      <w:fldChar w:fldCharType="separate"/>
    </w:r>
    <w:r>
      <w:rPr>
        <w:rStyle w:val="11"/>
        <w:rFonts w:ascii="宋体"/>
        <w:sz w:val="28"/>
        <w:szCs w:val="28"/>
      </w:rPr>
      <w:t>- 9 -</w:t>
    </w:r>
    <w:r>
      <w:rPr>
        <w:rFonts w:hint="eastAsia" w:ascii="宋体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ind w:firstLine="280" w:firstLineChars="100"/>
      <w:rPr>
        <w:rStyle w:val="11"/>
        <w:rFonts w:hint="eastAsia" w:ascii="宋体"/>
        <w:sz w:val="28"/>
        <w:szCs w:val="28"/>
      </w:rPr>
    </w:pPr>
    <w:r>
      <w:rPr>
        <w:rFonts w:hint="eastAsia" w:ascii="宋体"/>
        <w:sz w:val="28"/>
        <w:szCs w:val="28"/>
      </w:rPr>
      <w:fldChar w:fldCharType="begin"/>
    </w:r>
    <w:r>
      <w:rPr>
        <w:rStyle w:val="11"/>
        <w:rFonts w:hint="eastAsia" w:ascii="宋体"/>
        <w:sz w:val="28"/>
        <w:szCs w:val="28"/>
      </w:rPr>
      <w:instrText xml:space="preserve">PAGE  </w:instrText>
    </w:r>
    <w:r>
      <w:rPr>
        <w:rFonts w:hint="eastAsia" w:ascii="宋体"/>
        <w:sz w:val="28"/>
        <w:szCs w:val="28"/>
      </w:rPr>
      <w:fldChar w:fldCharType="separate"/>
    </w:r>
    <w:r>
      <w:rPr>
        <w:rStyle w:val="11"/>
        <w:rFonts w:ascii="宋体"/>
        <w:sz w:val="28"/>
        <w:szCs w:val="28"/>
      </w:rPr>
      <w:t>- 6 -</w:t>
    </w:r>
    <w:r>
      <w:rPr>
        <w:rFonts w:hint="eastAsia" w:ascii="宋体"/>
        <w:sz w:val="28"/>
        <w:szCs w:val="28"/>
      </w:rPr>
      <w:fldChar w:fldCharType="end"/>
    </w:r>
  </w:p>
  <w:p>
    <w:pPr>
      <w:pStyle w:val="5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mMTVjZDcxYmRhMWVhZmQ5OTQwODJlZDg3ZmEyNDgifQ=="/>
  </w:docVars>
  <w:rsids>
    <w:rsidRoot w:val="00000000"/>
    <w:rsid w:val="031D2852"/>
    <w:rsid w:val="034A4A3C"/>
    <w:rsid w:val="03EA356B"/>
    <w:rsid w:val="06436049"/>
    <w:rsid w:val="064E048F"/>
    <w:rsid w:val="07AF3996"/>
    <w:rsid w:val="0A6749FB"/>
    <w:rsid w:val="0B0009AC"/>
    <w:rsid w:val="0B351918"/>
    <w:rsid w:val="0B5E54A2"/>
    <w:rsid w:val="0D6E66F6"/>
    <w:rsid w:val="0D8A2613"/>
    <w:rsid w:val="0E861133"/>
    <w:rsid w:val="0F5F0DB0"/>
    <w:rsid w:val="11F75B8E"/>
    <w:rsid w:val="13D02910"/>
    <w:rsid w:val="1419679E"/>
    <w:rsid w:val="15C140F7"/>
    <w:rsid w:val="15DE2356"/>
    <w:rsid w:val="1637436D"/>
    <w:rsid w:val="173A61CC"/>
    <w:rsid w:val="173A643E"/>
    <w:rsid w:val="17D31922"/>
    <w:rsid w:val="183F12A7"/>
    <w:rsid w:val="194137B9"/>
    <w:rsid w:val="1AB32AB7"/>
    <w:rsid w:val="1B8F5D21"/>
    <w:rsid w:val="1D402762"/>
    <w:rsid w:val="1DBC7663"/>
    <w:rsid w:val="1F455399"/>
    <w:rsid w:val="1FA375B7"/>
    <w:rsid w:val="206C0B34"/>
    <w:rsid w:val="213F6C51"/>
    <w:rsid w:val="21FF50C2"/>
    <w:rsid w:val="2B0A66E7"/>
    <w:rsid w:val="2C183BEE"/>
    <w:rsid w:val="2D575342"/>
    <w:rsid w:val="2D6C6407"/>
    <w:rsid w:val="2DEB633A"/>
    <w:rsid w:val="2E6D2068"/>
    <w:rsid w:val="2EE00659"/>
    <w:rsid w:val="2F587CB0"/>
    <w:rsid w:val="31B07A2F"/>
    <w:rsid w:val="34077978"/>
    <w:rsid w:val="340A7D03"/>
    <w:rsid w:val="355B1A66"/>
    <w:rsid w:val="3B40040D"/>
    <w:rsid w:val="40840218"/>
    <w:rsid w:val="41907B4C"/>
    <w:rsid w:val="43BB04E2"/>
    <w:rsid w:val="44E13CC3"/>
    <w:rsid w:val="45955C96"/>
    <w:rsid w:val="460E1B40"/>
    <w:rsid w:val="472A7306"/>
    <w:rsid w:val="4872320E"/>
    <w:rsid w:val="49DE23E9"/>
    <w:rsid w:val="4B92518B"/>
    <w:rsid w:val="4BD27F54"/>
    <w:rsid w:val="4DE91F83"/>
    <w:rsid w:val="4DFA6B73"/>
    <w:rsid w:val="4F8A6BE7"/>
    <w:rsid w:val="50DE5BD6"/>
    <w:rsid w:val="52033B01"/>
    <w:rsid w:val="520C2D5F"/>
    <w:rsid w:val="52FD70E9"/>
    <w:rsid w:val="54330A77"/>
    <w:rsid w:val="556B08A1"/>
    <w:rsid w:val="557B3A73"/>
    <w:rsid w:val="563028CA"/>
    <w:rsid w:val="563F132A"/>
    <w:rsid w:val="589B1E7D"/>
    <w:rsid w:val="59943D66"/>
    <w:rsid w:val="59C15C83"/>
    <w:rsid w:val="5CD751C6"/>
    <w:rsid w:val="5DAC44F3"/>
    <w:rsid w:val="5F0026A0"/>
    <w:rsid w:val="5FD87063"/>
    <w:rsid w:val="609F781A"/>
    <w:rsid w:val="62583A67"/>
    <w:rsid w:val="66ED4AB6"/>
    <w:rsid w:val="67466700"/>
    <w:rsid w:val="67EB3D34"/>
    <w:rsid w:val="681F4EFD"/>
    <w:rsid w:val="6A900728"/>
    <w:rsid w:val="6B7651DB"/>
    <w:rsid w:val="6BB03F7E"/>
    <w:rsid w:val="6C0377B5"/>
    <w:rsid w:val="6C574F2A"/>
    <w:rsid w:val="6E1D39B2"/>
    <w:rsid w:val="70A36E38"/>
    <w:rsid w:val="70B82D51"/>
    <w:rsid w:val="70CC548E"/>
    <w:rsid w:val="721101F2"/>
    <w:rsid w:val="724B410E"/>
    <w:rsid w:val="73D0483F"/>
    <w:rsid w:val="74802012"/>
    <w:rsid w:val="761A2C99"/>
    <w:rsid w:val="7A4B5CDF"/>
    <w:rsid w:val="7B0823F4"/>
    <w:rsid w:val="7B4F790E"/>
    <w:rsid w:val="7BAE6AB2"/>
    <w:rsid w:val="7C1A7CA3"/>
    <w:rsid w:val="7E272E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2">
    <w:name w:val="heading 2"/>
    <w:basedOn w:val="1"/>
    <w:next w:val="1"/>
    <w:link w:val="13"/>
    <w:autoRedefine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/>
      <w:b/>
      <w:bCs/>
      <w:kern w:val="0"/>
      <w:sz w:val="36"/>
      <w:szCs w:val="36"/>
    </w:rPr>
  </w:style>
  <w:style w:type="character" w:default="1" w:styleId="9">
    <w:name w:val="Default Paragraph Font"/>
    <w:autoRedefine/>
    <w:qFormat/>
    <w:uiPriority w:val="0"/>
  </w:style>
  <w:style w:type="table" w:default="1" w:styleId="8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4"/>
    <w:autoRedefine/>
    <w:qFormat/>
    <w:uiPriority w:val="0"/>
    <w:pPr>
      <w:ind w:left="100" w:leftChars="2500"/>
    </w:pPr>
  </w:style>
  <w:style w:type="paragraph" w:styleId="4">
    <w:name w:val="Balloon Text"/>
    <w:basedOn w:val="1"/>
    <w:autoRedefine/>
    <w:qFormat/>
    <w:uiPriority w:val="0"/>
    <w:rPr>
      <w:sz w:val="18"/>
      <w:szCs w:val="18"/>
    </w:rPr>
  </w:style>
  <w:style w:type="paragraph" w:styleId="5">
    <w:name w:val="footer"/>
    <w:basedOn w:val="1"/>
    <w:link w:val="15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  <w:lang w:bidi="ar-SA"/>
    </w:rPr>
  </w:style>
  <w:style w:type="paragraph" w:styleId="6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sz w:val="18"/>
      <w:szCs w:val="18"/>
      <w:lang w:bidi="ar-SA"/>
    </w:rPr>
  </w:style>
  <w:style w:type="paragraph" w:styleId="7">
    <w:name w:val="Normal (Web)"/>
    <w:basedOn w:val="1"/>
    <w:autoRedefine/>
    <w:qFormat/>
    <w:uiPriority w:val="0"/>
    <w:rPr>
      <w:sz w:val="24"/>
    </w:rPr>
  </w:style>
  <w:style w:type="character" w:styleId="10">
    <w:name w:val="Strong"/>
    <w:autoRedefine/>
    <w:qFormat/>
    <w:uiPriority w:val="22"/>
    <w:rPr>
      <w:b/>
      <w:bCs/>
    </w:rPr>
  </w:style>
  <w:style w:type="character" w:styleId="11">
    <w:name w:val="page number"/>
    <w:basedOn w:val="9"/>
    <w:autoRedefine/>
    <w:qFormat/>
    <w:uiPriority w:val="0"/>
  </w:style>
  <w:style w:type="character" w:styleId="12">
    <w:name w:val="Hyperlink"/>
    <w:autoRedefine/>
    <w:qFormat/>
    <w:uiPriority w:val="99"/>
    <w:rPr>
      <w:color w:val="333333"/>
      <w:u w:val="none"/>
    </w:rPr>
  </w:style>
  <w:style w:type="character" w:customStyle="1" w:styleId="13">
    <w:name w:val="标题 2 Char"/>
    <w:link w:val="2"/>
    <w:autoRedefine/>
    <w:qFormat/>
    <w:uiPriority w:val="9"/>
    <w:rPr>
      <w:rFonts w:ascii="宋体" w:hAnsi="宋体" w:eastAsia="宋体" w:cs="宋体"/>
      <w:b/>
      <w:bCs/>
      <w:sz w:val="36"/>
      <w:szCs w:val="36"/>
    </w:rPr>
  </w:style>
  <w:style w:type="character" w:customStyle="1" w:styleId="14">
    <w:name w:val="日期 Char"/>
    <w:link w:val="3"/>
    <w:autoRedefine/>
    <w:qFormat/>
    <w:uiPriority w:val="0"/>
    <w:rPr>
      <w:rFonts w:eastAsia="仿宋_GB2312"/>
      <w:kern w:val="2"/>
      <w:sz w:val="32"/>
    </w:rPr>
  </w:style>
  <w:style w:type="character" w:customStyle="1" w:styleId="15">
    <w:name w:val="页脚 Char"/>
    <w:link w:val="5"/>
    <w:autoRedefine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16">
    <w:name w:val="unnamed11"/>
    <w:autoRedefine/>
    <w:qFormat/>
    <w:uiPriority w:val="0"/>
    <w:rPr>
      <w:rFonts w:ascii="宋体" w:eastAsia="宋体"/>
      <w:sz w:val="21"/>
      <w:szCs w:val="21"/>
    </w:rPr>
  </w:style>
  <w:style w:type="paragraph" w:customStyle="1" w:styleId="17">
    <w:name w:val="正文（正式）"/>
    <w:basedOn w:val="1"/>
    <w:autoRedefine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8"/>
      <w:lang w:eastAsia="en-US"/>
    </w:rPr>
  </w:style>
  <w:style w:type="paragraph" w:customStyle="1" w:styleId="18">
    <w:name w:val="List Paragraph_655a563d-c76b-4219-9920-1f1a8aa83116"/>
    <w:basedOn w:val="1"/>
    <w:autoRedefine/>
    <w:qFormat/>
    <w:uiPriority w:val="0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  <w:style w:type="paragraph" w:styleId="19">
    <w:name w:val="No Spacing"/>
    <w:autoRedefine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fjjsxxzx</Company>
  <Pages>14</Pages>
  <Words>3375</Words>
  <Characters>5097</Characters>
  <Paragraphs>591</Paragraphs>
  <TotalTime>0</TotalTime>
  <ScaleCrop>false</ScaleCrop>
  <LinksUpToDate>false</LinksUpToDate>
  <CharactersWithSpaces>5412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2019-05-20T02:04:00Z</dcterms:created>
  <dc:creator>fjjsxxzx</dc:creator>
  <cp:lastModifiedBy>陈弘扬</cp:lastModifiedBy>
  <cp:lastPrinted>2018-11-26T06:40:00Z</cp:lastPrinted>
  <dcterms:modified xsi:type="dcterms:W3CDTF">2024-05-06T08:22:29Z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F92DE81BEF2C482D899B4E5F3E322674</vt:lpwstr>
  </property>
</Properties>
</file>