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宋体" w:hAnsi="宋体" w:eastAsia="宋体" w:cs="宋体"/>
          <w:b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z w:val="30"/>
          <w:szCs w:val="30"/>
          <w:lang w:val="zh-CN" w:eastAsia="zh-CN"/>
        </w:rPr>
        <w:t>云栖白马公馆</w:t>
      </w:r>
      <w:r>
        <w:rPr>
          <w:rFonts w:hint="eastAsia" w:ascii="宋体" w:hAnsi="宋体" w:eastAsia="宋体" w:cs="宋体"/>
          <w:b/>
          <w:sz w:val="30"/>
          <w:szCs w:val="30"/>
        </w:rPr>
        <w:t>项目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30"/>
          <w:szCs w:val="30"/>
        </w:rPr>
        <w:t>#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楼</w:t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3#楼</w:t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5#楼</w:t>
      </w:r>
      <w:r>
        <w:rPr>
          <w:rFonts w:hint="eastAsia" w:ascii="宋体" w:hAnsi="宋体" w:eastAsia="宋体" w:cs="宋体"/>
          <w:b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7#楼</w:t>
      </w:r>
    </w:p>
    <w:p>
      <w:pPr>
        <w:spacing w:line="480" w:lineRule="exact"/>
        <w:jc w:val="center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30"/>
          <w:szCs w:val="30"/>
        </w:rPr>
        <w:t>装配式建筑设计阶段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预评价</w:t>
      </w:r>
      <w:r>
        <w:rPr>
          <w:rFonts w:hint="eastAsia" w:ascii="宋体" w:hAnsi="宋体" w:eastAsia="宋体" w:cs="宋体"/>
          <w:b/>
          <w:sz w:val="30"/>
          <w:szCs w:val="30"/>
        </w:rPr>
        <w:t>专家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评审</w:t>
      </w:r>
      <w:r>
        <w:rPr>
          <w:rFonts w:hint="eastAsia" w:ascii="宋体" w:hAnsi="宋体" w:eastAsia="宋体" w:cs="宋体"/>
          <w:b/>
          <w:sz w:val="30"/>
          <w:szCs w:val="30"/>
        </w:rPr>
        <w:t>意见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2023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31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日，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福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州市城乡建设局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通过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现场会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议的方式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组织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召开云栖白马公馆项目1#楼、3#楼、5#楼、7#楼装配式建筑设计阶段预评价专家评审会，会议由福州市城乡建设局主持，评审专家、建设单位（</w:t>
      </w:r>
      <w:r>
        <w:rPr>
          <w:rFonts w:hint="eastAsia" w:ascii="仿宋" w:hAnsi="仿宋" w:eastAsia="仿宋" w:cs="仿宋"/>
          <w:color w:val="auto"/>
          <w:sz w:val="24"/>
          <w:szCs w:val="24"/>
          <w:lang w:val="zh-CN" w:eastAsia="zh-CN"/>
        </w:rPr>
        <w:t>福州兆升房地产开发有限公司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）、主体设计单位（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里隽（厦门）建筑设计有限公司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）、拆分设计单位（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里隽（厦门）建筑设计有限公司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）、施工单位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（天成华瑞装饰有限公司）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各参建单位代表参加了会议。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本项目基本简况如下：项目位于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福州市台江区交通西路北侧，怡园路东侧，白马支路西侧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。项目总建筑计容面积为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72382.10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㎡，其中1#楼(建筑计容面积为9970.11㎡)、3#楼(建筑计容面积为9859.77㎡)、5#楼(建筑计容面积为9166.56㎡)、7#楼(建筑计容面积为9183.43㎡)采用装配式方式建造，装配式建筑计容总面积为38179.87㎡，占总建筑计容面积比例为52.74%。本项目主要预制构件为为预制叠合板、非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砌筑内隔墙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，其各评价单元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装配式建造内容及装配率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详下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表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：</w:t>
      </w:r>
    </w:p>
    <w:tbl>
      <w:tblPr>
        <w:tblStyle w:val="3"/>
        <w:tblW w:w="89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3107"/>
        <w:gridCol w:w="1188"/>
        <w:gridCol w:w="1039"/>
        <w:gridCol w:w="1038"/>
        <w:gridCol w:w="1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评价项</w:t>
            </w:r>
          </w:p>
        </w:tc>
        <w:tc>
          <w:tcPr>
            <w:tcW w:w="3107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装配式建造内容</w:t>
            </w:r>
          </w:p>
        </w:tc>
        <w:tc>
          <w:tcPr>
            <w:tcW w:w="118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#楼评价分值</w:t>
            </w:r>
          </w:p>
        </w:tc>
        <w:tc>
          <w:tcPr>
            <w:tcW w:w="103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#楼评价分值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#楼评价分值</w:t>
            </w:r>
          </w:p>
        </w:tc>
        <w:tc>
          <w:tcPr>
            <w:tcW w:w="105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#楼评价分值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7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主体结构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（Q</w:t>
            </w:r>
            <w:r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10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预制叠合板，设计标准化、模数化、竖向构件采用装配式模板、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部品部件通用化</w:t>
            </w:r>
          </w:p>
        </w:tc>
        <w:tc>
          <w:tcPr>
            <w:tcW w:w="118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/>
                <w:kern w:val="2"/>
                <w:sz w:val="24"/>
                <w:szCs w:val="24"/>
                <w:lang w:val="en-US" w:eastAsia="zh-CN" w:bidi="zh-CN"/>
              </w:rPr>
              <w:t>32.2</w:t>
            </w:r>
          </w:p>
        </w:tc>
        <w:tc>
          <w:tcPr>
            <w:tcW w:w="10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/>
                <w:kern w:val="2"/>
                <w:sz w:val="24"/>
                <w:szCs w:val="24"/>
                <w:lang w:val="en-US" w:eastAsia="zh-CN" w:bidi="zh-CN"/>
              </w:rPr>
              <w:t>32.1</w:t>
            </w:r>
          </w:p>
        </w:tc>
        <w:tc>
          <w:tcPr>
            <w:tcW w:w="10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/>
                <w:kern w:val="2"/>
                <w:sz w:val="24"/>
                <w:szCs w:val="24"/>
                <w:lang w:val="en-US" w:eastAsia="zh-CN" w:bidi="zh-CN"/>
              </w:rPr>
              <w:t>32.1</w:t>
            </w:r>
          </w:p>
        </w:tc>
        <w:tc>
          <w:tcPr>
            <w:tcW w:w="10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cs="仿宋_GB2312"/>
                <w:color w:val="000000"/>
                <w:kern w:val="2"/>
                <w:sz w:val="24"/>
                <w:szCs w:val="24"/>
                <w:lang w:val="en-US" w:eastAsia="zh-CN" w:bidi="zh-CN"/>
              </w:rPr>
              <w:t>32.0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围护墙和内隔墙（Q</w:t>
            </w:r>
            <w:r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10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非砌筑内隔墙</w:t>
            </w:r>
          </w:p>
        </w:tc>
        <w:tc>
          <w:tcPr>
            <w:tcW w:w="118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装修与设备管线（Q</w:t>
            </w:r>
            <w:r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10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全装修</w:t>
            </w:r>
          </w:p>
        </w:tc>
        <w:tc>
          <w:tcPr>
            <w:tcW w:w="118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0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0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  <w:tc>
          <w:tcPr>
            <w:tcW w:w="10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5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技术创新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6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（Q</w:t>
            </w:r>
            <w:r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:vertAlign w:val="subscript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10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设计阶段及施工阶段BIM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应用、可追溯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</w:t>
            </w: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系统</w:t>
            </w:r>
          </w:p>
        </w:tc>
        <w:tc>
          <w:tcPr>
            <w:tcW w:w="118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0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center"/>
              <w:textAlignment w:val="auto"/>
              <w:rPr>
                <w:rFonts w:hint="eastAsia" w:ascii="仿宋" w:hAnsi="仿宋" w:eastAsia="仿宋" w:cs="仿宋"/>
                <w:bCs/>
                <w:color w:val="000000" w:themeColor="text1"/>
                <w:kern w:val="2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 w:themeColor="text1"/>
                <w:kern w:val="24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118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50.2</w:t>
            </w:r>
          </w:p>
        </w:tc>
        <w:tc>
          <w:tcPr>
            <w:tcW w:w="10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50.1</w:t>
            </w:r>
          </w:p>
        </w:tc>
        <w:tc>
          <w:tcPr>
            <w:tcW w:w="10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50.1</w:t>
            </w:r>
          </w:p>
        </w:tc>
        <w:tc>
          <w:tcPr>
            <w:tcW w:w="10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装配率</w:t>
            </w:r>
            <w:r>
              <w:rPr>
                <w:rFonts w:hint="eastAsia" w:ascii="仿宋" w:hAnsi="仿宋" w:eastAsia="仿宋" w:cs="仿宋"/>
                <w:color w:val="000000" w:themeColor="text1"/>
                <w:kern w:val="24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(%)</w:t>
            </w:r>
          </w:p>
        </w:tc>
        <w:tc>
          <w:tcPr>
            <w:tcW w:w="118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039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03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105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hint="default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本项目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施工图设计文件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已通过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图审机构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审查，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审查机构：福州建功施工图审查有限公司，合格书编号:3501032212200101-TX-003。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jc w:val="left"/>
        <w:textAlignment w:val="auto"/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与会专家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及相关职能部门领导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听取了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里隽（厦门）建筑设计有限公司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及建设单位对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该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项目的介绍，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同时设计公司对专家组提出的问题进行了解答。经专家组质询讨论，形成以下意见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该项目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#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楼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3#楼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5#楼、7#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楼采用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装配式建筑建造，设计方案可行，相关资料完整。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装配式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建筑计容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面积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占总建筑计容面积比例为52.74%，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大于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总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建筑计容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面积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的50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%，满足国有建设用地使用权出让合同（合同编号：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35010020221215P058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）及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《福州市人民政府文件》（榕政综〔2017〕1164号）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的相关要求。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该项目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1#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楼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评价分值为50分，3#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楼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评价分值为50分，5#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楼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评价分值为50分，7#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楼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评价分值为50分，其中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主体结构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部分的分值均不低于30分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、围护墙和内隔墙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部分的分值均不低于10分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、技术创新部分的分值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均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不低于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5分，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u w:val="none"/>
          <w:shd w:val="clear" w:color="auto" w:fill="auto"/>
          <w14:textFill>
            <w14:solidFill>
              <w14:schemeClr w14:val="tx1"/>
            </w14:solidFill>
          </w14:textFill>
        </w:rPr>
        <w:t>各评价单元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装配率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均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不低于50%，符合《福建省装配式建筑评价管理办法（试行）》（闽建〔2020〕4号）的相关规定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80" w:firstLineChars="200"/>
        <w:textAlignment w:val="auto"/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同意该项目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#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楼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3#楼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5#楼、7#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楼设计阶段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预</w:t>
      </w:r>
      <w:r>
        <w:rPr>
          <w:rFonts w:hint="eastAsia" w:ascii="仿宋" w:hAnsi="仿宋" w:eastAsia="仿宋" w:cs="仿宋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评价为装配式建筑。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仿宋" w:hAnsi="仿宋" w:eastAsia="仿宋" w:cs="仿宋"/>
          <w:bCs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20" w:lineRule="exact"/>
        <w:textAlignment w:val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 xml:space="preserve">专家名单：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20" w:lineRule="exact"/>
        <w:jc w:val="center"/>
        <w:textAlignment w:val="auto"/>
        <w:rPr>
          <w:rFonts w:hint="eastAsia" w:ascii="仿宋" w:hAnsi="仿宋" w:eastAsia="仿宋" w:cs="仿宋"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24"/>
          <w:szCs w:val="24"/>
          <w:lang w:val="en-US" w:eastAsia="zh-CN" w:bidi="ar-SA"/>
        </w:rPr>
        <w:t>吕胜利</w:t>
      </w:r>
      <w:r>
        <w:rPr>
          <w:rFonts w:hint="eastAsia" w:ascii="仿宋" w:hAnsi="仿宋" w:eastAsia="仿宋" w:cs="仿宋"/>
          <w:bCs/>
          <w:color w:val="000000"/>
          <w:kern w:val="2"/>
          <w:sz w:val="24"/>
          <w:szCs w:val="24"/>
          <w:lang w:val="en-US" w:eastAsia="zh-CN" w:bidi="ar-SA"/>
        </w:rPr>
        <w:t xml:space="preserve">    金强（福建）建材科技股份有限公司       高  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20" w:lineRule="exact"/>
        <w:jc w:val="center"/>
        <w:textAlignment w:val="auto"/>
        <w:rPr>
          <w:rFonts w:hint="eastAsia" w:ascii="仿宋" w:hAnsi="仿宋" w:eastAsia="仿宋" w:cs="仿宋"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24"/>
          <w:szCs w:val="24"/>
          <w:lang w:val="en-US" w:eastAsia="zh-CN" w:bidi="ar-SA"/>
        </w:rPr>
        <w:t>林珠清</w:t>
      </w:r>
      <w:r>
        <w:rPr>
          <w:rFonts w:hint="eastAsia" w:ascii="仿宋" w:hAnsi="仿宋" w:eastAsia="仿宋" w:cs="仿宋"/>
          <w:bCs/>
          <w:color w:val="000000"/>
          <w:kern w:val="2"/>
          <w:sz w:val="24"/>
          <w:szCs w:val="24"/>
          <w:lang w:val="en-US" w:eastAsia="zh-CN" w:bidi="ar-SA"/>
        </w:rPr>
        <w:t xml:space="preserve">   福建省建筑科学研究院有限责任公司        高  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20" w:lineRule="exact"/>
        <w:jc w:val="center"/>
        <w:textAlignment w:val="auto"/>
        <w:rPr>
          <w:rFonts w:hint="eastAsia" w:ascii="仿宋" w:hAnsi="仿宋" w:eastAsia="仿宋" w:cs="仿宋"/>
          <w:bCs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24"/>
          <w:szCs w:val="24"/>
          <w:lang w:val="en-US" w:eastAsia="zh-CN" w:bidi="ar-SA"/>
        </w:rPr>
        <w:t>蔡仁武</w:t>
      </w:r>
      <w:r>
        <w:rPr>
          <w:rFonts w:hint="eastAsia" w:ascii="仿宋" w:hAnsi="仿宋" w:eastAsia="仿宋" w:cs="仿宋"/>
          <w:bCs/>
          <w:color w:val="000000"/>
          <w:kern w:val="2"/>
          <w:sz w:val="24"/>
          <w:szCs w:val="24"/>
          <w:lang w:val="en-US" w:eastAsia="zh-CN" w:bidi="ar-SA"/>
        </w:rPr>
        <w:t xml:space="preserve">          福建左海科技有限公司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Cs/>
          <w:color w:val="000000"/>
          <w:kern w:val="2"/>
          <w:sz w:val="24"/>
          <w:szCs w:val="24"/>
          <w:lang w:val="en-US" w:eastAsia="zh-CN" w:bidi="ar-SA"/>
        </w:rPr>
        <w:t xml:space="preserve">            工程师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20" w:lineRule="exact"/>
        <w:jc w:val="left"/>
        <w:textAlignment w:val="auto"/>
        <w:rPr>
          <w:rFonts w:hint="eastAsia" w:ascii="仿宋" w:hAnsi="仿宋" w:eastAsia="仿宋" w:cs="仿宋"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Cs/>
          <w:kern w:val="2"/>
          <w:sz w:val="24"/>
          <w:szCs w:val="24"/>
          <w:lang w:val="en-US" w:eastAsia="zh-CN" w:bidi="ar-SA"/>
        </w:rPr>
        <w:t xml:space="preserve">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420" w:lineRule="exact"/>
        <w:jc w:val="left"/>
        <w:textAlignment w:val="auto"/>
        <w:rPr>
          <w:rFonts w:hint="eastAsia" w:ascii="仿宋" w:hAnsi="仿宋" w:eastAsia="仿宋" w:cs="仿宋"/>
          <w:bCs/>
          <w:kern w:val="2"/>
          <w:sz w:val="24"/>
          <w:szCs w:val="24"/>
          <w:lang w:val="en-US" w:eastAsia="zh-CN" w:bidi="ar-SA"/>
        </w:rPr>
      </w:pPr>
    </w:p>
    <w:p>
      <w:pPr>
        <w:jc w:val="right"/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2023</w:t>
      </w:r>
      <w:r>
        <w:rPr>
          <w:rFonts w:hint="eastAsia" w:ascii="仿宋" w:hAnsi="仿宋" w:eastAsia="仿宋" w:cs="仿宋"/>
          <w:bCs/>
          <w:kern w:val="2"/>
          <w:sz w:val="24"/>
          <w:szCs w:val="24"/>
          <w:lang w:val="en-US" w:eastAsia="zh-CN" w:bidi="ar-SA"/>
        </w:rPr>
        <w:t>年8月31日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B10717"/>
    <w:multiLevelType w:val="singleLevel"/>
    <w:tmpl w:val="DDB1071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MmZmMTJjYzg4YmRhMzkxMDliNmMzMzYyZjRlMTIifQ=="/>
  </w:docVars>
  <w:rsids>
    <w:rsidRoot w:val="73DF3BCD"/>
    <w:rsid w:val="06312751"/>
    <w:rsid w:val="73DF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 w:val="0"/>
      <w:spacing w:beforeAutospacing="1" w:afterAutospacing="1"/>
      <w:jc w:val="left"/>
    </w:pPr>
    <w:rPr>
      <w:rFonts w:ascii="Calibri" w:hAnsi="Calibri" w:eastAsia="宋体" w:cstheme="minorBidi"/>
      <w:kern w:val="0"/>
      <w:sz w:val="24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2023-08-31T07:47:00Z</dcterms:created>
  <dc:creator>智隆</dc:creator>
  <cp:lastModifiedBy>智隆</cp:lastModifiedBy>
  <dcterms:modified xsi:type="dcterms:W3CDTF">2023-08-31T07:54:33Z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1532199AC08B4FD28FAD3C0D01B623A1_13</vt:lpwstr>
  </property>
</Properties>
</file>