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安许安管人员预警信息维护操作步骤及核实方法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一、闽政通入职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第一步，入职人员闽政通先通过L5高级实名认证，在通过闽政通APP搜索“建设类企业人员管理系统”,点击从业人员端,更新认证状态；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第二步，所属企业使用企业账号登录省厅政务服务系统，通过左侧菜单点击人员信息—人员汇总表进行新增人员；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第三步，再让入职人员通过闽政通APP内的建设类企业人员管理系统，从业人员端进行入职确认。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入职成功后，在政务服务系统上的人员汇总表内即可查询到人员信息。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二、政务服务系统人员岗位信息设置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安许预警企业在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福州市建设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从业人员综合服务平台将安管人员补充完整后，还需进入住建主管部门网站维护安全生产考核合格证（A证）人员岗位信息。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示例：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省厅政务服务系统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-人员信息-主要负责人模块中维护2个A证人员的岗位类型，一个设置为</w:t>
      </w:r>
      <w:r>
        <w:rPr>
          <w:rFonts w:hint="default" w:ascii="Times New Roman" w:hAnsi="Times New Roman" w:eastAsia="仿宋_GB2312" w:cs="Times New Roman"/>
          <w:sz w:val="32"/>
          <w:szCs w:val="24"/>
        </w:rPr>
        <w:t>分管安全生产的副总经理（副总裁）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另一个设置为</w:t>
      </w:r>
      <w:r>
        <w:rPr>
          <w:rFonts w:hint="default" w:ascii="Times New Roman" w:hAnsi="Times New Roman" w:eastAsia="仿宋_GB2312" w:cs="Times New Roman"/>
          <w:sz w:val="32"/>
          <w:szCs w:val="24"/>
        </w:rPr>
        <w:t>总经理（总裁）或法定代表人</w:t>
      </w:r>
      <w:r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  <w:t>。</w:t>
      </w:r>
    </w:p>
    <w:p>
      <w:r>
        <w:drawing>
          <wp:inline distT="0" distB="0" distL="114300" distR="114300">
            <wp:extent cx="5274310" cy="32454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4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如何核实本单位安许人员是否满足预警要求</w:t>
      </w:r>
    </w:p>
    <w:p>
      <w:pPr>
        <w:numPr>
          <w:ilvl w:val="0"/>
          <w:numId w:val="1"/>
        </w:numPr>
        <w:rPr>
          <w:rFonts w:hint="default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首先打开</w:t>
      </w:r>
      <w:r>
        <w:rPr>
          <w:rFonts w:hint="eastAsia" w:ascii="微软雅黑" w:hAnsi="微软雅黑" w:eastAsia="微软雅黑" w:cs="微软雅黑"/>
          <w:sz w:val="24"/>
          <w:lang w:eastAsia="zh-CN"/>
        </w:rPr>
        <w:t>省厅政务服务系统</w:t>
      </w:r>
      <w:r>
        <w:rPr>
          <w:rFonts w:hint="eastAsia" w:ascii="微软雅黑" w:hAnsi="微软雅黑" w:eastAsia="微软雅黑" w:cs="微软雅黑"/>
          <w:sz w:val="24"/>
          <w:lang w:val="en-US" w:eastAsia="zh-CN"/>
        </w:rPr>
        <w:t>-人员信息-主要负责人，核实以下3种岗位信息是否设置：</w:t>
      </w:r>
      <w:r>
        <w:rPr>
          <w:rFonts w:hint="eastAsia" w:ascii="微软雅黑" w:hAnsi="微软雅黑" w:eastAsia="微软雅黑" w:cs="微软雅黑"/>
          <w:color w:val="FF0000"/>
          <w:sz w:val="24"/>
          <w:lang w:val="en-US" w:eastAsia="zh-CN"/>
        </w:rPr>
        <w:t>分管安全生产副经理</w:t>
      </w:r>
      <w:r>
        <w:rPr>
          <w:rFonts w:hint="eastAsia" w:ascii="微软雅黑" w:hAnsi="微软雅黑" w:eastAsia="微软雅黑" w:cs="微软雅黑"/>
          <w:color w:val="FF0000"/>
          <w:sz w:val="24"/>
          <w:lang w:eastAsia="zh-CN"/>
        </w:rPr>
        <w:t>、建筑业企业经理、</w:t>
      </w:r>
      <w:r>
        <w:rPr>
          <w:rFonts w:hint="eastAsia" w:ascii="微软雅黑" w:hAnsi="微软雅黑" w:eastAsia="微软雅黑" w:cs="微软雅黑"/>
          <w:color w:val="FF0000"/>
          <w:sz w:val="24"/>
        </w:rPr>
        <w:t>法定代表人</w:t>
      </w:r>
      <w:r>
        <w:rPr>
          <w:rFonts w:hint="eastAsia" w:ascii="微软雅黑" w:hAnsi="微软雅黑" w:eastAsia="微软雅黑" w:cs="微软雅黑"/>
          <w:sz w:val="24"/>
          <w:lang w:eastAsia="zh-CN"/>
        </w:rPr>
        <w:t>，如图：</w:t>
      </w:r>
    </w:p>
    <w:p>
      <w:pPr>
        <w:pStyle w:val="2"/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6261735" cy="2491740"/>
            <wp:effectExtent l="0" t="0" r="571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735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如以上3种岗位已设置完成，可对应点开“详情”查看个人证书内的三类人员证书信息，核实三类人员证书内的企业名称跟在职企业名称是否一致，以及证书是否在有效期内，如图；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178550" cy="1687195"/>
            <wp:effectExtent l="0" t="0" r="12700" b="825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26810" cy="2025650"/>
            <wp:effectExtent l="0" t="0" r="2540" b="1270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681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lang w:val="en-US" w:eastAsia="zh-CN"/>
        </w:rPr>
        <w:t>接着，点击人员信息--人员证书信息---三类人员证书信息，核实对应A证及C证，点击对应证书的详情进去，核实证书的企业名称跟在职企业名称是否一致，以及证书是否在有效期内；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250940" cy="2589530"/>
            <wp:effectExtent l="0" t="0" r="1651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50940" cy="2374900"/>
            <wp:effectExtent l="0" t="0" r="16510" b="635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注：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主要负责人岗位当天设置的以及三类人员证书信息当天对接上的，那安许预警需次日刷新查看；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人员证书内的企业名称跟在职企业名称不一致，可先通过福建省建设从业人员综合服务平台（http://220.160.52.118:9084/portalWeb/fwZhcx/toFwZ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hcxPage?code=zscx），查询证书信息，如查询福建省建设从业人员综合服务平台证书信息无问题，但省厅政务服务系统上的证书信息有误，可将人员信息（人员姓名，身份证号，证书编号，企业名称）及截图发送至邮箱</w:t>
      </w: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instrText xml:space="preserve"> HYPERLINK "mailto:（2367052714@qq.com）。" </w:instrText>
      </w: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（2367052714@qq.com）。</w:t>
      </w: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FF0000"/>
          <w:spacing w:val="0"/>
          <w:kern w:val="2"/>
          <w:sz w:val="24"/>
          <w:szCs w:val="24"/>
          <w:lang w:val="en-US" w:eastAsia="zh-CN" w:bidi="ar-SA"/>
        </w:rPr>
        <w:t>如您核实福建省建设从业人员综合服务平台上的证书信息有问题，则需联系福建省建设从业人员综合服务平台进行核实证书情况，联系电话：0591-86393032；</w:t>
      </w:r>
    </w:p>
    <w:p>
      <w:pPr>
        <w:outlineLvl w:val="0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9ED7B6"/>
    <w:multiLevelType w:val="singleLevel"/>
    <w:tmpl w:val="AC9ED7B6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06CBF6B5"/>
    <w:multiLevelType w:val="singleLevel"/>
    <w:tmpl w:val="06CBF6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MDcyMzMwYjk2ODYzZTlkYjkwOTAxODY5MDEyYTYifQ=="/>
  </w:docVars>
  <w:rsids>
    <w:rsidRoot w:val="00172A27"/>
    <w:rsid w:val="152C0D1B"/>
    <w:rsid w:val="17680005"/>
    <w:rsid w:val="19AC1A98"/>
    <w:rsid w:val="29531416"/>
    <w:rsid w:val="34356758"/>
    <w:rsid w:val="377103A8"/>
    <w:rsid w:val="3DF114C3"/>
    <w:rsid w:val="3EA51073"/>
    <w:rsid w:val="404402D8"/>
    <w:rsid w:val="40CD665F"/>
    <w:rsid w:val="43E664DD"/>
    <w:rsid w:val="44110F59"/>
    <w:rsid w:val="49A74F4D"/>
    <w:rsid w:val="4D4E6D7A"/>
    <w:rsid w:val="4EB26A1C"/>
    <w:rsid w:val="50C9053F"/>
    <w:rsid w:val="528E5DC6"/>
    <w:rsid w:val="589B0391"/>
    <w:rsid w:val="625602C1"/>
    <w:rsid w:val="71157B57"/>
    <w:rsid w:val="72EE6448"/>
    <w:rsid w:val="796357B2"/>
    <w:rsid w:val="7A5911D0"/>
    <w:rsid w:val="7BF2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uiPriority w:val="99"/>
    <w:rPr>
      <w:color w:val="0086C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369</Words>
  <Characters>375</Characters>
  <Lines>0</Lines>
  <Paragraphs>0</Paragraphs>
  <TotalTime>2</TotalTime>
  <ScaleCrop>false</ScaleCrop>
  <LinksUpToDate>false</LinksUpToDate>
  <CharactersWithSpaces>375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2022-11-17T08:32:00Z</dcterms:created>
  <dc:creator>cq_02</dc:creator>
  <cp:lastModifiedBy>aaa123</cp:lastModifiedBy>
  <cp:lastPrinted>2024-12-02T09:11:00Z</cp:lastPrinted>
  <dcterms:modified xsi:type="dcterms:W3CDTF">2024-12-12T03:19:40Z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FB4C3349D8B741BCB519216608EDEBB1_13</vt:lpwstr>
  </property>
</Properties>
</file>