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360" w:lineRule="auto"/>
        <w:ind w:leftChars="0" w:right="0" w:rightChars="0"/>
        <w:jc w:val="both"/>
        <w:textAlignment w:val="auto"/>
        <w:outlineLvl w:val="0"/>
        <w:rPr>
          <w:rFonts w:hint="eastAsia" w:ascii="黑体" w:hAnsi="黑体" w:eastAsia="黑体" w:cs="黑体"/>
          <w:b w:val="0"/>
          <w:bCs/>
          <w:snapToGrid/>
          <w:color w:val="auto"/>
          <w:spacing w:val="-1"/>
          <w:szCs w:val="32"/>
          <w:lang w:eastAsia="zh-CN"/>
        </w:rPr>
      </w:pPr>
      <w:r>
        <w:rPr>
          <w:rFonts w:hint="eastAsia" w:ascii="黑体" w:hAnsi="黑体" w:eastAsia="黑体" w:cs="黑体"/>
          <w:b w:val="0"/>
          <w:bCs/>
          <w:snapToGrid/>
          <w:color w:val="auto"/>
          <w:spacing w:val="-1"/>
          <w:szCs w:val="32"/>
          <w:lang w:eastAsia="zh-CN"/>
        </w:rPr>
        <w:t>附件2</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600" w:lineRule="exact"/>
        <w:ind w:leftChars="0" w:right="0" w:rightChars="0"/>
        <w:jc w:val="center"/>
        <w:textAlignment w:val="auto"/>
        <w:outlineLvl w:val="0"/>
        <w:rPr>
          <w:rFonts w:hint="eastAsia" w:ascii="宋体" w:hAnsi="宋体" w:eastAsia="宋体" w:cs="宋体"/>
          <w:snapToGrid/>
          <w:color w:val="auto"/>
          <w:spacing w:val="-1"/>
          <w:sz w:val="36"/>
          <w:szCs w:val="36"/>
          <w:lang w:eastAsia="zh-CN"/>
        </w:rPr>
      </w:pPr>
      <w:r>
        <w:rPr>
          <w:rFonts w:hint="eastAsia" w:ascii="宋体" w:hAnsi="宋体" w:eastAsia="宋体" w:cs="宋体"/>
          <w:snapToGrid/>
          <w:color w:val="auto"/>
          <w:spacing w:val="-1"/>
          <w:sz w:val="36"/>
          <w:szCs w:val="36"/>
          <w:lang w:eastAsia="zh-CN"/>
        </w:rPr>
        <w:t>福州市绿色建材应用比例计算技术细则</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600" w:lineRule="exact"/>
        <w:ind w:leftChars="0" w:right="0" w:rightChars="0"/>
        <w:jc w:val="center"/>
        <w:textAlignment w:val="auto"/>
        <w:outlineLvl w:val="0"/>
        <w:rPr>
          <w:rFonts w:hint="eastAsia" w:ascii="宋体" w:hAnsi="宋体" w:eastAsia="宋体" w:cs="宋体"/>
          <w:snapToGrid/>
          <w:color w:val="auto"/>
          <w:spacing w:val="-1"/>
          <w:sz w:val="36"/>
          <w:szCs w:val="36"/>
          <w:lang w:eastAsia="zh-CN"/>
        </w:rPr>
      </w:pPr>
      <w:r>
        <w:rPr>
          <w:rFonts w:hint="eastAsia" w:ascii="宋体" w:hAnsi="宋体" w:eastAsia="宋体" w:cs="宋体"/>
          <w:snapToGrid/>
          <w:color w:val="auto"/>
          <w:spacing w:val="-1"/>
          <w:sz w:val="36"/>
          <w:szCs w:val="36"/>
          <w:lang w:eastAsia="zh-CN"/>
        </w:rPr>
        <w:t>（2026年</w:t>
      </w:r>
      <w:r>
        <w:rPr>
          <w:rFonts w:hint="eastAsia" w:ascii="宋体" w:hAnsi="宋体" w:cs="宋体"/>
          <w:snapToGrid/>
          <w:color w:val="auto"/>
          <w:spacing w:val="-1"/>
          <w:sz w:val="36"/>
          <w:szCs w:val="36"/>
          <w:lang w:val="en-US" w:eastAsia="zh-CN"/>
        </w:rPr>
        <w:t>版</w:t>
      </w:r>
      <w:r>
        <w:rPr>
          <w:rFonts w:hint="eastAsia" w:ascii="宋体" w:hAnsi="宋体" w:eastAsia="宋体" w:cs="宋体"/>
          <w:snapToGrid/>
          <w:color w:val="auto"/>
          <w:spacing w:val="-1"/>
          <w:sz w:val="36"/>
          <w:szCs w:val="36"/>
          <w:lang w:eastAsia="zh-CN"/>
        </w:rPr>
        <w:t>）</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600" w:lineRule="exact"/>
        <w:ind w:leftChars="0" w:right="0" w:rightChars="0"/>
        <w:jc w:val="center"/>
        <w:textAlignment w:val="auto"/>
        <w:outlineLvl w:val="0"/>
        <w:rPr>
          <w:rFonts w:hint="default" w:ascii="宋体" w:hAnsi="宋体" w:eastAsia="宋体" w:cs="宋体"/>
          <w:snapToGrid/>
          <w:color w:val="auto"/>
          <w:spacing w:val="-1"/>
          <w:sz w:val="36"/>
          <w:szCs w:val="36"/>
          <w:lang w:val="en-US" w:eastAsia="zh-CN"/>
        </w:rPr>
      </w:pPr>
      <w:r>
        <w:rPr>
          <w:rFonts w:hint="eastAsia" w:ascii="宋体" w:hAnsi="宋体" w:cs="宋体"/>
          <w:snapToGrid/>
          <w:color w:val="auto"/>
          <w:spacing w:val="-1"/>
          <w:sz w:val="36"/>
          <w:szCs w:val="36"/>
          <w:lang w:val="en-US" w:eastAsia="zh-CN"/>
        </w:rPr>
        <w:t>(</w:t>
      </w:r>
      <w:r>
        <w:rPr>
          <w:rFonts w:hint="eastAsia" w:ascii="宋体" w:hAnsi="宋体" w:eastAsia="宋体" w:cs="宋体"/>
          <w:snapToGrid/>
          <w:color w:val="auto"/>
          <w:spacing w:val="-1"/>
          <w:sz w:val="36"/>
          <w:szCs w:val="36"/>
          <w:lang w:val="en-US" w:eastAsia="zh-CN"/>
        </w:rPr>
        <w:t>征求意见稿</w:t>
      </w:r>
      <w:r>
        <w:rPr>
          <w:rFonts w:hint="eastAsia" w:ascii="宋体" w:hAnsi="宋体" w:cs="宋体"/>
          <w:snapToGrid/>
          <w:color w:val="auto"/>
          <w:spacing w:val="-1"/>
          <w:sz w:val="36"/>
          <w:szCs w:val="36"/>
          <w:lang w:val="en-US" w:eastAsia="zh-CN"/>
        </w:rPr>
        <w:t>)</w:t>
      </w:r>
    </w:p>
    <w:p>
      <w:pPr>
        <w:keepNext w:val="0"/>
        <w:keepLines w:val="0"/>
        <w:pageBreakBefore w:val="0"/>
        <w:kinsoku/>
        <w:overflowPunct/>
        <w:topLinePunct w:val="0"/>
        <w:bidi w:val="0"/>
        <w:jc w:val="center"/>
        <w:rPr>
          <w:rFonts w:hint="eastAsia" w:ascii="宋体" w:hAnsi="宋体" w:eastAsia="宋体" w:cs="宋体"/>
          <w:strike w:val="0"/>
          <w:dstrike w:val="0"/>
          <w:color w:val="auto"/>
          <w:sz w:val="36"/>
          <w:szCs w:val="28"/>
          <w:lang w:val="en-US" w:eastAsia="zh-CN"/>
        </w:rPr>
      </w:pPr>
      <w:bookmarkStart w:id="0" w:name="_GoBack"/>
      <w:bookmarkEnd w:id="0"/>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360" w:lineRule="auto"/>
        <w:ind w:leftChars="0" w:right="0" w:rightChars="0"/>
        <w:jc w:val="center"/>
        <w:textAlignment w:val="auto"/>
        <w:outlineLvl w:val="0"/>
        <w:rPr>
          <w:rFonts w:hint="eastAsia" w:ascii="宋体" w:hAnsi="宋体" w:eastAsia="宋体" w:cs="宋体"/>
          <w:strike w:val="0"/>
          <w:dstrike w:val="0"/>
          <w:snapToGrid/>
          <w:color w:val="auto"/>
          <w:spacing w:val="-1"/>
          <w:szCs w:val="32"/>
          <w:lang w:eastAsia="zh-CN"/>
        </w:rPr>
      </w:pPr>
      <w:r>
        <w:rPr>
          <w:rFonts w:hint="eastAsia" w:ascii="宋体" w:hAnsi="宋体" w:eastAsia="宋体" w:cs="宋体"/>
          <w:strike w:val="0"/>
          <w:dstrike w:val="0"/>
          <w:snapToGrid/>
          <w:color w:val="auto"/>
          <w:spacing w:val="-1"/>
          <w:szCs w:val="32"/>
          <w:lang w:eastAsia="zh-CN"/>
        </w:rPr>
        <w:t>局部修订说明</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0" w:after="0" w:afterLines="0" w:line="360" w:lineRule="auto"/>
        <w:ind w:leftChars="0" w:right="0" w:rightChars="0" w:firstLine="556" w:firstLineChars="200"/>
        <w:jc w:val="both"/>
        <w:textAlignment w:val="auto"/>
        <w:outlineLvl w:val="0"/>
        <w:rPr>
          <w:rFonts w:hint="eastAsia" w:ascii="宋体" w:hAnsi="宋体" w:eastAsia="宋体" w:cs="宋体"/>
          <w:b w:val="0"/>
          <w:bCs/>
          <w:snapToGrid/>
          <w:color w:val="auto"/>
          <w:spacing w:val="-1"/>
          <w:sz w:val="28"/>
          <w:szCs w:val="28"/>
          <w:lang w:eastAsia="zh-CN"/>
        </w:rPr>
      </w:pPr>
      <w:r>
        <w:rPr>
          <w:rFonts w:hint="eastAsia" w:ascii="宋体" w:hAnsi="宋体" w:eastAsia="宋体" w:cs="宋体"/>
          <w:b w:val="0"/>
          <w:bCs/>
          <w:snapToGrid/>
          <w:color w:val="auto"/>
          <w:spacing w:val="-1"/>
          <w:sz w:val="28"/>
          <w:szCs w:val="28"/>
          <w:lang w:eastAsia="zh-CN"/>
        </w:rPr>
        <w:t>本次局部修订工作是依据住房和城乡建设部《绿色建筑评价标准》GB/T50378-2019（2024年版）</w:t>
      </w:r>
      <w:r>
        <w:rPr>
          <w:rFonts w:hint="eastAsia" w:ascii="宋体" w:hAnsi="宋体" w:cs="宋体"/>
          <w:b w:val="0"/>
          <w:bCs/>
          <w:snapToGrid/>
          <w:color w:val="auto"/>
          <w:spacing w:val="-1"/>
          <w:sz w:val="28"/>
          <w:szCs w:val="28"/>
          <w:lang w:eastAsia="zh-CN"/>
        </w:rPr>
        <w:t>、中国工程建设标准化协会</w:t>
      </w:r>
      <w:r>
        <w:rPr>
          <w:rFonts w:hint="eastAsia" w:ascii="宋体" w:hAnsi="宋体" w:eastAsia="宋体" w:cs="宋体"/>
          <w:b w:val="0"/>
          <w:bCs/>
          <w:snapToGrid/>
          <w:color w:val="auto"/>
          <w:spacing w:val="-1"/>
          <w:sz w:val="28"/>
          <w:szCs w:val="28"/>
          <w:lang w:eastAsia="zh-CN"/>
        </w:rPr>
        <w:t>《绿色建材应用比例计算核算方法》T/CECS10532-2025中相关调整，结合财政部、住房和城乡建设部、工业和信息化部《绿色建筑和绿色建材政府采购需求标准（2025年版）》</w:t>
      </w:r>
      <w:r>
        <w:rPr>
          <w:rFonts w:hint="eastAsia" w:ascii="宋体" w:hAnsi="宋体" w:cs="宋体"/>
          <w:b w:val="0"/>
          <w:bCs/>
          <w:snapToGrid/>
          <w:color w:val="auto"/>
          <w:spacing w:val="-1"/>
          <w:sz w:val="28"/>
          <w:szCs w:val="28"/>
          <w:lang w:eastAsia="zh-CN"/>
        </w:rPr>
        <w:t>新增要求，</w:t>
      </w:r>
      <w:r>
        <w:rPr>
          <w:rFonts w:hint="eastAsia" w:ascii="宋体" w:hAnsi="宋体" w:eastAsia="宋体" w:cs="宋体"/>
          <w:b w:val="0"/>
          <w:bCs/>
          <w:snapToGrid/>
          <w:color w:val="auto"/>
          <w:spacing w:val="-1"/>
          <w:sz w:val="28"/>
          <w:szCs w:val="28"/>
          <w:lang w:eastAsia="zh-CN"/>
        </w:rPr>
        <w:t>由福州市建筑设计院股份有限公司会同有关单位共同完成。</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0" w:after="0" w:afterLines="0" w:line="360" w:lineRule="auto"/>
        <w:ind w:leftChars="0" w:right="0" w:rightChars="0" w:firstLine="556" w:firstLineChars="200"/>
        <w:jc w:val="both"/>
        <w:textAlignment w:val="auto"/>
        <w:outlineLvl w:val="0"/>
        <w:rPr>
          <w:rFonts w:hint="eastAsia" w:ascii="宋体" w:hAnsi="宋体" w:eastAsia="宋体" w:cs="宋体"/>
          <w:b w:val="0"/>
          <w:bCs/>
          <w:snapToGrid/>
          <w:color w:val="auto"/>
          <w:spacing w:val="-1"/>
          <w:sz w:val="28"/>
          <w:szCs w:val="28"/>
          <w:lang w:eastAsia="zh-CN"/>
        </w:rPr>
      </w:pPr>
      <w:r>
        <w:rPr>
          <w:rFonts w:hint="eastAsia" w:ascii="宋体" w:hAnsi="宋体" w:eastAsia="宋体" w:cs="宋体"/>
          <w:b w:val="0"/>
          <w:bCs/>
          <w:snapToGrid/>
          <w:color w:val="auto"/>
          <w:spacing w:val="-1"/>
          <w:sz w:val="28"/>
          <w:szCs w:val="28"/>
          <w:lang w:eastAsia="zh-CN"/>
        </w:rPr>
        <w:t>本次局部修订的主要内容包括：</w:t>
      </w:r>
      <w:r>
        <w:rPr>
          <w:rFonts w:hint="eastAsia" w:ascii="宋体" w:hAnsi="宋体" w:cs="宋体"/>
          <w:b w:val="0"/>
          <w:bCs/>
          <w:snapToGrid/>
          <w:color w:val="auto"/>
          <w:spacing w:val="-1"/>
          <w:sz w:val="28"/>
          <w:szCs w:val="28"/>
          <w:lang w:eastAsia="zh-CN"/>
        </w:rPr>
        <w:t>（</w:t>
      </w:r>
      <w:r>
        <w:rPr>
          <w:rFonts w:hint="eastAsia" w:ascii="宋体" w:hAnsi="宋体" w:cs="宋体"/>
          <w:b w:val="0"/>
          <w:bCs/>
          <w:snapToGrid/>
          <w:color w:val="auto"/>
          <w:spacing w:val="-1"/>
          <w:sz w:val="28"/>
          <w:szCs w:val="28"/>
          <w:lang w:val="en-US" w:eastAsia="zh-CN"/>
        </w:rPr>
        <w:t>1</w:t>
      </w:r>
      <w:r>
        <w:rPr>
          <w:rFonts w:hint="eastAsia" w:ascii="宋体" w:hAnsi="宋体" w:cs="宋体"/>
          <w:b w:val="0"/>
          <w:bCs/>
          <w:snapToGrid/>
          <w:color w:val="auto"/>
          <w:spacing w:val="-1"/>
          <w:sz w:val="28"/>
          <w:szCs w:val="28"/>
          <w:lang w:eastAsia="zh-CN"/>
        </w:rPr>
        <w:t>）补充明确核算单元要求；</w:t>
      </w:r>
      <w:r>
        <w:rPr>
          <w:rFonts w:hint="eastAsia" w:ascii="宋体" w:hAnsi="宋体" w:eastAsia="宋体" w:cs="宋体"/>
          <w:b w:val="0"/>
          <w:bCs/>
          <w:snapToGrid/>
          <w:color w:val="auto"/>
          <w:spacing w:val="-1"/>
          <w:sz w:val="28"/>
          <w:szCs w:val="28"/>
          <w:lang w:eastAsia="zh-CN"/>
        </w:rPr>
        <w:t>（</w:t>
      </w:r>
      <w:r>
        <w:rPr>
          <w:rFonts w:hint="eastAsia" w:ascii="宋体" w:hAnsi="宋体" w:eastAsia="宋体" w:cs="宋体"/>
          <w:b w:val="0"/>
          <w:bCs/>
          <w:snapToGrid/>
          <w:color w:val="auto"/>
          <w:spacing w:val="-1"/>
          <w:sz w:val="28"/>
          <w:szCs w:val="28"/>
          <w:lang w:val="en-US" w:eastAsia="zh-CN"/>
        </w:rPr>
        <w:t>2</w:t>
      </w:r>
      <w:r>
        <w:rPr>
          <w:rFonts w:hint="eastAsia" w:ascii="宋体" w:hAnsi="宋体" w:eastAsia="宋体" w:cs="宋体"/>
          <w:b w:val="0"/>
          <w:bCs/>
          <w:snapToGrid/>
          <w:color w:val="auto"/>
          <w:spacing w:val="-1"/>
          <w:sz w:val="28"/>
          <w:szCs w:val="28"/>
          <w:lang w:eastAsia="zh-CN"/>
        </w:rPr>
        <w:t>）与现行绿色建筑评价标准</w:t>
      </w:r>
      <w:r>
        <w:rPr>
          <w:rFonts w:hint="eastAsia" w:ascii="宋体" w:hAnsi="宋体" w:cs="宋体"/>
          <w:b w:val="0"/>
          <w:bCs/>
          <w:snapToGrid/>
          <w:color w:val="auto"/>
          <w:spacing w:val="-1"/>
          <w:sz w:val="28"/>
          <w:szCs w:val="28"/>
          <w:lang w:eastAsia="zh-CN"/>
        </w:rPr>
        <w:t>中绿色建材各一级指标分值占比相协调；</w:t>
      </w:r>
      <w:r>
        <w:rPr>
          <w:rFonts w:hint="eastAsia" w:ascii="宋体" w:hAnsi="宋体" w:eastAsia="宋体" w:cs="宋体"/>
          <w:b w:val="0"/>
          <w:bCs/>
          <w:snapToGrid/>
          <w:color w:val="auto"/>
          <w:spacing w:val="-1"/>
          <w:sz w:val="28"/>
          <w:szCs w:val="28"/>
          <w:lang w:eastAsia="zh-CN"/>
        </w:rPr>
        <w:t>（</w:t>
      </w:r>
      <w:r>
        <w:rPr>
          <w:rFonts w:hint="eastAsia" w:ascii="宋体" w:hAnsi="宋体" w:eastAsia="宋体" w:cs="宋体"/>
          <w:b w:val="0"/>
          <w:bCs/>
          <w:snapToGrid/>
          <w:color w:val="auto"/>
          <w:spacing w:val="-1"/>
          <w:sz w:val="28"/>
          <w:szCs w:val="28"/>
          <w:lang w:val="en-US" w:eastAsia="zh-CN"/>
        </w:rPr>
        <w:t>3</w:t>
      </w:r>
      <w:r>
        <w:rPr>
          <w:rFonts w:hint="eastAsia" w:ascii="宋体" w:hAnsi="宋体" w:eastAsia="宋体" w:cs="宋体"/>
          <w:b w:val="0"/>
          <w:bCs/>
          <w:snapToGrid/>
          <w:color w:val="auto"/>
          <w:spacing w:val="-1"/>
          <w:sz w:val="28"/>
          <w:szCs w:val="28"/>
          <w:lang w:eastAsia="zh-CN"/>
        </w:rPr>
        <w:t>）根据现行绿色建筑和绿色建材政府采购需求标准增设必选项；</w:t>
      </w:r>
      <w:r>
        <w:rPr>
          <w:rFonts w:hint="eastAsia" w:ascii="宋体" w:hAnsi="宋体" w:cs="宋体"/>
          <w:b w:val="0"/>
          <w:bCs/>
          <w:snapToGrid/>
          <w:color w:val="auto"/>
          <w:spacing w:val="-1"/>
          <w:sz w:val="28"/>
          <w:szCs w:val="28"/>
          <w:lang w:eastAsia="zh-CN"/>
        </w:rPr>
        <w:t>（</w:t>
      </w:r>
      <w:r>
        <w:rPr>
          <w:rFonts w:hint="eastAsia" w:ascii="宋体" w:hAnsi="宋体" w:cs="宋体"/>
          <w:b w:val="0"/>
          <w:bCs/>
          <w:snapToGrid/>
          <w:color w:val="auto"/>
          <w:spacing w:val="-1"/>
          <w:sz w:val="28"/>
          <w:szCs w:val="28"/>
          <w:lang w:val="en-US" w:eastAsia="zh-CN"/>
        </w:rPr>
        <w:t>4</w:t>
      </w:r>
      <w:r>
        <w:rPr>
          <w:rFonts w:hint="eastAsia" w:ascii="宋体" w:hAnsi="宋体" w:cs="宋体"/>
          <w:b w:val="0"/>
          <w:bCs/>
          <w:snapToGrid/>
          <w:color w:val="auto"/>
          <w:spacing w:val="-1"/>
          <w:sz w:val="28"/>
          <w:szCs w:val="28"/>
          <w:lang w:eastAsia="zh-CN"/>
        </w:rPr>
        <w:t>）根据《福州市绿色建筑和绿色建材政府采购基本要求（2026年版）》修订内容调整二级指标名称；</w:t>
      </w:r>
      <w:r>
        <w:rPr>
          <w:rFonts w:hint="eastAsia" w:ascii="宋体" w:hAnsi="宋体" w:eastAsia="宋体" w:cs="宋体"/>
          <w:b w:val="0"/>
          <w:bCs/>
          <w:snapToGrid/>
          <w:color w:val="auto"/>
          <w:spacing w:val="-1"/>
          <w:sz w:val="28"/>
          <w:szCs w:val="28"/>
          <w:lang w:eastAsia="zh-CN"/>
        </w:rPr>
        <w:t>（</w:t>
      </w:r>
      <w:r>
        <w:rPr>
          <w:rFonts w:hint="eastAsia" w:ascii="宋体" w:hAnsi="宋体" w:cs="宋体"/>
          <w:b w:val="0"/>
          <w:bCs/>
          <w:snapToGrid/>
          <w:color w:val="auto"/>
          <w:spacing w:val="-1"/>
          <w:sz w:val="28"/>
          <w:szCs w:val="28"/>
          <w:lang w:val="en-US" w:eastAsia="zh-CN"/>
        </w:rPr>
        <w:t>5</w:t>
      </w:r>
      <w:r>
        <w:rPr>
          <w:rFonts w:hint="eastAsia" w:ascii="宋体" w:hAnsi="宋体" w:eastAsia="宋体" w:cs="宋体"/>
          <w:b w:val="0"/>
          <w:bCs/>
          <w:snapToGrid/>
          <w:color w:val="auto"/>
          <w:spacing w:val="-1"/>
          <w:sz w:val="28"/>
          <w:szCs w:val="28"/>
          <w:lang w:eastAsia="zh-CN"/>
        </w:rPr>
        <w:t>）根据第一批试点项目情况调整分值计算方法及必选项要求，优化实施效果。</w:t>
      </w:r>
    </w:p>
    <w:p>
      <w:pPr>
        <w:keepNext w:val="0"/>
        <w:keepLines w:val="0"/>
        <w:pageBreakBefore w:val="0"/>
        <w:kinsoku/>
        <w:wordWrap/>
        <w:overflowPunct/>
        <w:topLinePunct w:val="0"/>
        <w:autoSpaceDE w:val="0"/>
        <w:autoSpaceDN w:val="0"/>
        <w:bidi w:val="0"/>
        <w:jc w:val="both"/>
        <w:rPr>
          <w:rFonts w:hint="eastAsia" w:ascii="宋体" w:hAnsi="宋体" w:eastAsia="宋体" w:cs="宋体"/>
          <w:snapToGrid/>
          <w:color w:val="auto"/>
          <w:spacing w:val="-1"/>
          <w:szCs w:val="32"/>
          <w:lang w:eastAsia="zh-CN"/>
        </w:rPr>
      </w:pPr>
    </w:p>
    <w:p>
      <w:pPr>
        <w:pStyle w:val="2"/>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sectPr>
          <w:headerReference r:id="rId5" w:type="default"/>
          <w:footerReference r:id="rId6" w:type="default"/>
          <w:pgSz w:w="11907" w:h="16839"/>
          <w:pgMar w:top="1582" w:right="1621" w:bottom="1281" w:left="1638" w:header="0" w:footer="1106" w:gutter="0"/>
          <w:pgNumType w:fmt="decimal" w:start="1"/>
          <w:cols w:space="0" w:num="1"/>
          <w:rtlGutter w:val="0"/>
          <w:docGrid w:linePitch="0" w:charSpace="0"/>
        </w:sectPr>
      </w:pPr>
    </w:p>
    <w:p>
      <w:pPr>
        <w:pStyle w:val="4"/>
        <w:keepNext w:val="0"/>
        <w:keepLines w:val="0"/>
        <w:pageBreakBefore w:val="0"/>
        <w:widowControl w:val="0"/>
        <w:numPr>
          <w:ilvl w:val="0"/>
          <w:numId w:val="1"/>
        </w:numPr>
        <w:tabs>
          <w:tab w:val="left" w:pos="4161"/>
          <w:tab w:val="clear" w:pos="420"/>
        </w:tabs>
        <w:kinsoku/>
        <w:wordWrap/>
        <w:overflowPunct/>
        <w:topLinePunct w:val="0"/>
        <w:autoSpaceDE w:val="0"/>
        <w:autoSpaceDN w:val="0"/>
        <w:bidi w:val="0"/>
        <w:adjustRightInd/>
        <w:snapToGrid/>
        <w:spacing w:before="0" w:beforeLines="100" w:after="0" w:afterLines="100" w:line="360" w:lineRule="auto"/>
        <w:ind w:left="425" w:leftChars="0" w:right="0" w:rightChars="0" w:hanging="425" w:firstLineChars="0"/>
        <w:jc w:val="both"/>
        <w:textAlignment w:val="auto"/>
        <w:outlineLvl w:val="0"/>
        <w:rPr>
          <w:rFonts w:hint="eastAsia" w:ascii="宋体" w:hAnsi="宋体" w:eastAsia="宋体" w:cs="宋体"/>
          <w:snapToGrid/>
          <w:color w:val="auto"/>
          <w:spacing w:val="-1"/>
          <w:szCs w:val="32"/>
          <w:lang w:eastAsia="zh-CN"/>
        </w:rPr>
      </w:pPr>
      <w:r>
        <w:rPr>
          <w:rFonts w:hint="eastAsia" w:ascii="宋体" w:hAnsi="宋体" w:eastAsia="宋体" w:cs="宋体"/>
          <w:snapToGrid/>
          <w:color w:val="auto"/>
          <w:spacing w:val="-1"/>
          <w:szCs w:val="32"/>
          <w:lang w:eastAsia="zh-CN"/>
        </w:rPr>
        <w:t>编制依据</w:t>
      </w:r>
    </w:p>
    <w:p>
      <w:pPr>
        <w:keepNext w:val="0"/>
        <w:keepLines w:val="0"/>
        <w:pageBreakBefore w:val="0"/>
        <w:kinsoku/>
        <w:wordWrap/>
        <w:overflowPunct/>
        <w:topLinePunct w:val="0"/>
        <w:autoSpaceDE w:val="0"/>
        <w:autoSpaceDN w:val="0"/>
        <w:bidi w:val="0"/>
        <w:ind w:firstLine="560" w:firstLineChars="200"/>
        <w:jc w:val="both"/>
        <w:rPr>
          <w:rFonts w:hint="eastAsia"/>
          <w:color w:val="auto"/>
          <w:u w:val="none"/>
          <w:lang w:eastAsia="zh-CN"/>
        </w:rPr>
      </w:pPr>
      <w:r>
        <w:rPr>
          <w:rFonts w:hint="eastAsia" w:ascii="宋体" w:hAnsi="宋体" w:eastAsia="宋体" w:cs="宋体"/>
          <w:color w:val="auto"/>
          <w:u w:val="none"/>
          <w:lang w:eastAsia="zh-CN"/>
        </w:rPr>
        <w:t>本细则参照住房和城乡建设部《绿色建筑评价标准》GB/T50378-2019（2024年版）、中国工程建设标准化协会《绿色建材应用比例计算核算方法》T/CECS10532-2025及财政部、住房和城乡建设部、工业和信息化部《绿色建筑和绿色建材政府采购需求标准（2025年版）》制定。</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360" w:lineRule="auto"/>
        <w:ind w:leftChars="0" w:right="0" w:rightChars="0"/>
        <w:jc w:val="both"/>
        <w:textAlignment w:val="auto"/>
        <w:outlineLvl w:val="0"/>
        <w:rPr>
          <w:rFonts w:hint="eastAsia" w:ascii="宋体" w:hAnsi="宋体" w:eastAsia="宋体" w:cs="宋体"/>
          <w:snapToGrid/>
          <w:color w:val="auto"/>
          <w:spacing w:val="-1"/>
          <w:szCs w:val="32"/>
          <w:lang w:val="en-US" w:eastAsia="zh-CN"/>
        </w:rPr>
      </w:pPr>
    </w:p>
    <w:p>
      <w:pPr>
        <w:pStyle w:val="4"/>
        <w:keepNext w:val="0"/>
        <w:keepLines w:val="0"/>
        <w:pageBreakBefore w:val="0"/>
        <w:widowControl w:val="0"/>
        <w:numPr>
          <w:ilvl w:val="0"/>
          <w:numId w:val="1"/>
        </w:numPr>
        <w:tabs>
          <w:tab w:val="left" w:pos="4161"/>
          <w:tab w:val="clear" w:pos="420"/>
        </w:tabs>
        <w:kinsoku/>
        <w:wordWrap/>
        <w:overflowPunct/>
        <w:topLinePunct w:val="0"/>
        <w:autoSpaceDE w:val="0"/>
        <w:autoSpaceDN w:val="0"/>
        <w:bidi w:val="0"/>
        <w:adjustRightInd/>
        <w:snapToGrid/>
        <w:spacing w:before="0" w:beforeLines="100" w:after="0" w:afterLines="100" w:line="360" w:lineRule="auto"/>
        <w:ind w:left="425" w:leftChars="0" w:right="0" w:rightChars="0" w:hanging="425" w:firstLineChars="0"/>
        <w:jc w:val="both"/>
        <w:textAlignment w:val="auto"/>
        <w:outlineLvl w:val="0"/>
        <w:rPr>
          <w:rFonts w:hint="eastAsia" w:ascii="宋体" w:hAnsi="宋体" w:eastAsia="宋体" w:cs="宋体"/>
          <w:snapToGrid/>
          <w:color w:val="auto"/>
          <w:spacing w:val="-1"/>
          <w:szCs w:val="32"/>
          <w:lang w:val="en-US" w:eastAsia="zh-CN"/>
        </w:rPr>
      </w:pPr>
      <w:r>
        <w:rPr>
          <w:rFonts w:hint="eastAsia" w:ascii="宋体" w:hAnsi="宋体" w:eastAsia="宋体" w:cs="宋体"/>
          <w:snapToGrid/>
          <w:color w:val="auto"/>
          <w:spacing w:val="-1"/>
          <w:szCs w:val="32"/>
          <w:lang w:val="en-US" w:eastAsia="zh-CN"/>
        </w:rPr>
        <w:t>基本要求</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b/>
          <w:bCs/>
          <w:color w:val="auto"/>
          <w:u w:val="none"/>
          <w:lang w:eastAsia="zh-CN"/>
        </w:rPr>
        <w:t xml:space="preserve">2.1   </w:t>
      </w:r>
      <w:r>
        <w:rPr>
          <w:rFonts w:hint="eastAsia" w:ascii="宋体" w:hAnsi="宋体" w:eastAsia="宋体" w:cs="宋体"/>
          <w:b/>
          <w:bCs/>
          <w:color w:val="auto"/>
          <w:u w:val="none"/>
          <w:lang w:val="en-US" w:eastAsia="zh-CN"/>
        </w:rPr>
        <w:t xml:space="preserve">  </w:t>
      </w:r>
      <w:r>
        <w:rPr>
          <w:rFonts w:hint="eastAsia" w:ascii="宋体" w:hAnsi="宋体" w:eastAsia="宋体" w:cs="宋体"/>
          <w:b/>
          <w:bCs/>
          <w:color w:val="auto"/>
          <w:u w:val="none"/>
          <w:lang w:eastAsia="zh-CN"/>
        </w:rPr>
        <w:t xml:space="preserve"> </w:t>
      </w:r>
      <w:r>
        <w:rPr>
          <w:rFonts w:hint="eastAsia" w:ascii="宋体" w:hAnsi="宋体" w:eastAsia="宋体" w:cs="宋体"/>
          <w:b w:val="0"/>
          <w:bCs w:val="0"/>
          <w:color w:val="auto"/>
          <w:u w:val="none"/>
          <w:lang w:eastAsia="zh-CN"/>
        </w:rPr>
        <w:t>新建、改建、扩建和改造工程的设计与审查、工程采购、建筑施工及竣工验收阶段的绿色建材应用比例应按本文件核算。</w:t>
      </w:r>
      <w:r>
        <w:rPr>
          <w:rFonts w:hint="eastAsia" w:ascii="宋体" w:hAnsi="宋体" w:eastAsia="宋体" w:cs="宋体"/>
          <w:color w:val="auto"/>
          <w:u w:val="none"/>
          <w:lang w:eastAsia="zh-CN"/>
        </w:rPr>
        <w:t>绿色建材应用比例宜以单体建筑作为计算单元。当以单体建筑作为核算单元时，</w:t>
      </w:r>
      <w:r>
        <w:rPr>
          <w:rFonts w:hint="eastAsia" w:ascii="宋体" w:hAnsi="宋体" w:cs="宋体"/>
          <w:color w:val="auto"/>
          <w:u w:val="none"/>
          <w:lang w:eastAsia="zh-CN"/>
        </w:rPr>
        <w:t>宜</w:t>
      </w:r>
      <w:r>
        <w:rPr>
          <w:rFonts w:hint="eastAsia" w:ascii="宋体" w:hAnsi="宋体" w:eastAsia="宋体" w:cs="宋体"/>
          <w:color w:val="auto"/>
          <w:u w:val="none"/>
          <w:lang w:eastAsia="zh-CN"/>
        </w:rPr>
        <w:t>合下列规定：</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color w:val="auto"/>
          <w:u w:val="none"/>
          <w:lang w:val="en-US" w:eastAsia="zh-CN"/>
        </w:rPr>
        <w:t>a</w:t>
      </w:r>
      <w:r>
        <w:rPr>
          <w:rFonts w:hint="eastAsia" w:ascii="宋体" w:hAnsi="宋体" w:eastAsia="宋体" w:cs="宋体"/>
          <w:color w:val="auto"/>
          <w:u w:val="none"/>
          <w:lang w:eastAsia="zh-CN"/>
        </w:rPr>
        <w:t>）单体建筑应按项目规划批准文件中的建筑编号确认；</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color w:val="auto"/>
          <w:u w:val="none"/>
          <w:lang w:eastAsia="zh-CN"/>
        </w:rPr>
        <w:t>b）单体建筑由主楼、裙楼组成时，主楼、裙楼可按不同的单体建筑进行计算；</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color w:val="auto"/>
          <w:u w:val="none"/>
          <w:lang w:eastAsia="zh-CN"/>
        </w:rPr>
        <w:t>c）单体建筑的层数不大于3层，且地上建筑面积不超过500㎡时，可由多个单体建筑组成建筑组团作为计算单元；</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color w:val="auto"/>
          <w:u w:val="none"/>
          <w:lang w:eastAsia="zh-CN"/>
        </w:rPr>
        <w:t>d）地下建筑(含地下室)可单独进行计算；</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val="en-US" w:eastAsia="zh-CN"/>
        </w:rPr>
      </w:pPr>
      <w:r>
        <w:rPr>
          <w:rFonts w:hint="eastAsia" w:ascii="宋体" w:hAnsi="宋体" w:eastAsia="宋体" w:cs="宋体"/>
          <w:color w:val="auto"/>
          <w:u w:val="none"/>
          <w:lang w:val="en-US" w:eastAsia="zh-CN"/>
        </w:rPr>
        <w:t>e</w:t>
      </w:r>
      <w:r>
        <w:rPr>
          <w:rFonts w:hint="eastAsia" w:ascii="宋体" w:hAnsi="宋体" w:eastAsia="宋体" w:cs="宋体"/>
          <w:color w:val="auto"/>
          <w:u w:val="none"/>
          <w:lang w:eastAsia="zh-CN"/>
        </w:rPr>
        <w:t>）当项目包含多个单体建筑时，可分别核算每个单体建筑的绿色建材应用比例，然后按建筑面积加权平均计算整个项目的绿色建材应用比例。</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lang w:eastAsia="zh-CN"/>
        </w:rPr>
        <w:t>2.</w:t>
      </w:r>
      <w:r>
        <w:rPr>
          <w:rFonts w:hint="eastAsia" w:ascii="宋体" w:hAnsi="宋体" w:eastAsia="宋体" w:cs="宋体"/>
          <w:b/>
          <w:bCs/>
          <w:color w:val="auto"/>
          <w:lang w:val="en-US" w:eastAsia="zh-CN"/>
        </w:rPr>
        <w:t>2</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绿色建材应用比例的计算应在项目设计阶段开展，并在竣工结算阶段以项目结算报告中绿色建材实际使用量等相关佐证材料为依据复核验收。</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b/>
          <w:bCs/>
          <w:color w:val="auto"/>
          <w:lang w:eastAsia="zh-CN"/>
        </w:rPr>
        <w:t>2.</w:t>
      </w:r>
      <w:r>
        <w:rPr>
          <w:rFonts w:hint="eastAsia" w:ascii="宋体" w:hAnsi="宋体" w:eastAsia="宋体" w:cs="宋体"/>
          <w:b/>
          <w:bCs/>
          <w:color w:val="auto"/>
          <w:lang w:val="en-US" w:eastAsia="zh-CN"/>
        </w:rPr>
        <w:t>3</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绿色建材应用比例的计算指标应由主体及围护结构工程用材、装饰装修工程用材、机电安装工程用材、室外工程用材4类指标组成，且</w:t>
      </w:r>
      <w:r>
        <w:rPr>
          <w:rFonts w:hint="eastAsia" w:ascii="宋体" w:hAnsi="宋体" w:eastAsia="宋体" w:cs="宋体"/>
          <w:color w:val="auto"/>
          <w:u w:val="none"/>
          <w:lang w:eastAsia="zh-CN"/>
        </w:rPr>
        <w:t>每类指标按子类别分设二级指标。</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b/>
          <w:bCs/>
          <w:color w:val="auto"/>
          <w:u w:val="none"/>
          <w:lang w:eastAsia="zh-CN"/>
        </w:rPr>
        <w:t>2.</w:t>
      </w:r>
      <w:r>
        <w:rPr>
          <w:rFonts w:hint="eastAsia" w:ascii="宋体" w:hAnsi="宋体" w:eastAsia="宋体" w:cs="宋体"/>
          <w:b/>
          <w:bCs/>
          <w:color w:val="auto"/>
          <w:u w:val="none"/>
          <w:lang w:val="en-US" w:eastAsia="zh-CN"/>
        </w:rPr>
        <w:t>4</w:t>
      </w:r>
      <w:r>
        <w:rPr>
          <w:rFonts w:hint="eastAsia" w:ascii="宋体" w:hAnsi="宋体" w:eastAsia="宋体" w:cs="宋体"/>
          <w:b/>
          <w:bCs/>
          <w:color w:val="auto"/>
          <w:u w:val="none"/>
          <w:lang w:eastAsia="zh-CN"/>
        </w:rPr>
        <w:t xml:space="preserve">   </w:t>
      </w:r>
      <w:r>
        <w:rPr>
          <w:rFonts w:hint="eastAsia" w:ascii="宋体" w:hAnsi="宋体" w:eastAsia="宋体" w:cs="宋体"/>
          <w:b/>
          <w:bCs/>
          <w:color w:val="auto"/>
          <w:u w:val="none"/>
          <w:lang w:val="en-US" w:eastAsia="zh-CN"/>
        </w:rPr>
        <w:t xml:space="preserve">  </w:t>
      </w:r>
      <w:r>
        <w:rPr>
          <w:rFonts w:hint="eastAsia" w:ascii="宋体" w:hAnsi="宋体" w:eastAsia="宋体" w:cs="宋体"/>
          <w:b/>
          <w:bCs/>
          <w:color w:val="auto"/>
          <w:u w:val="none"/>
          <w:lang w:eastAsia="zh-CN"/>
        </w:rPr>
        <w:t xml:space="preserve"> </w:t>
      </w:r>
      <w:r>
        <w:rPr>
          <w:rFonts w:hint="eastAsia" w:ascii="宋体" w:hAnsi="宋体" w:eastAsia="宋体" w:cs="宋体"/>
          <w:color w:val="auto"/>
          <w:u w:val="none"/>
          <w:lang w:eastAsia="zh-CN"/>
        </w:rPr>
        <w:t>绿色建材应用比例4类计算指标合计100分，其中主体及围护结构工程用材指标设置</w:t>
      </w:r>
      <w:r>
        <w:rPr>
          <w:rFonts w:hint="eastAsia" w:ascii="宋体" w:hAnsi="宋体" w:eastAsia="宋体" w:cs="宋体"/>
          <w:color w:val="auto"/>
          <w:u w:val="none"/>
          <w:lang w:val="en-US" w:eastAsia="zh-CN"/>
        </w:rPr>
        <w:t>45</w:t>
      </w:r>
      <w:r>
        <w:rPr>
          <w:rFonts w:hint="eastAsia" w:ascii="宋体" w:hAnsi="宋体" w:eastAsia="宋体" w:cs="宋体"/>
          <w:color w:val="auto"/>
          <w:u w:val="none"/>
          <w:lang w:eastAsia="zh-CN"/>
        </w:rPr>
        <w:t>分、装饰装修工程用材指标设置</w:t>
      </w:r>
      <w:r>
        <w:rPr>
          <w:rFonts w:hint="eastAsia" w:ascii="宋体" w:hAnsi="宋体" w:eastAsia="宋体" w:cs="宋体"/>
          <w:color w:val="auto"/>
          <w:u w:val="none"/>
          <w:lang w:val="en-US" w:eastAsia="zh-CN"/>
        </w:rPr>
        <w:t>35</w:t>
      </w:r>
      <w:r>
        <w:rPr>
          <w:rFonts w:hint="eastAsia" w:ascii="宋体" w:hAnsi="宋体" w:eastAsia="宋体" w:cs="宋体"/>
          <w:color w:val="auto"/>
          <w:u w:val="none"/>
          <w:lang w:eastAsia="zh-CN"/>
        </w:rPr>
        <w:t>分、机电安装工程用材指标设置</w:t>
      </w:r>
      <w:r>
        <w:rPr>
          <w:rFonts w:hint="eastAsia" w:ascii="宋体" w:hAnsi="宋体" w:eastAsia="宋体" w:cs="宋体"/>
          <w:color w:val="auto"/>
          <w:u w:val="none"/>
          <w:lang w:val="en-US" w:eastAsia="zh-CN"/>
        </w:rPr>
        <w:t>15</w:t>
      </w:r>
      <w:r>
        <w:rPr>
          <w:rFonts w:hint="eastAsia" w:ascii="宋体" w:hAnsi="宋体" w:eastAsia="宋体" w:cs="宋体"/>
          <w:color w:val="auto"/>
          <w:u w:val="none"/>
          <w:lang w:eastAsia="zh-CN"/>
        </w:rPr>
        <w:t>分、室外工程用材指标设置</w:t>
      </w:r>
      <w:r>
        <w:rPr>
          <w:rFonts w:hint="eastAsia" w:ascii="宋体" w:hAnsi="宋体" w:eastAsia="宋体" w:cs="宋体"/>
          <w:color w:val="auto"/>
          <w:u w:val="none"/>
          <w:lang w:val="en-US" w:eastAsia="zh-CN"/>
        </w:rPr>
        <w:t>5</w:t>
      </w:r>
      <w:r>
        <w:rPr>
          <w:rFonts w:hint="eastAsia" w:ascii="宋体" w:hAnsi="宋体" w:eastAsia="宋体" w:cs="宋体"/>
          <w:color w:val="auto"/>
          <w:u w:val="none"/>
          <w:lang w:eastAsia="zh-CN"/>
        </w:rPr>
        <w:t>分。绿色建材应用比例计算指标实际得分值按本细则第3章计算方法的相关要求经计算后确定。</w:t>
      </w:r>
    </w:p>
    <w:p>
      <w:pPr>
        <w:pStyle w:val="10"/>
        <w:keepNext w:val="0"/>
        <w:keepLines w:val="0"/>
        <w:pageBreakBefore w:val="0"/>
        <w:kinsoku/>
        <w:wordWrap/>
        <w:overflowPunct/>
        <w:topLinePunct w:val="0"/>
        <w:autoSpaceDE w:val="0"/>
        <w:autoSpaceDN w:val="0"/>
        <w:bidi w:val="0"/>
        <w:spacing w:line="342" w:lineRule="auto"/>
        <w:jc w:val="both"/>
        <w:rPr>
          <w:rFonts w:hint="eastAsia" w:ascii="宋体" w:hAnsi="宋体" w:eastAsia="宋体" w:cs="宋体"/>
          <w:color w:val="auto"/>
          <w:lang w:eastAsia="zh-CN"/>
        </w:rPr>
      </w:pPr>
    </w:p>
    <w:p>
      <w:pPr>
        <w:pStyle w:val="4"/>
        <w:keepNext w:val="0"/>
        <w:keepLines w:val="0"/>
        <w:pageBreakBefore w:val="0"/>
        <w:widowControl w:val="0"/>
        <w:numPr>
          <w:ilvl w:val="0"/>
          <w:numId w:val="1"/>
        </w:numPr>
        <w:tabs>
          <w:tab w:val="left" w:pos="4161"/>
          <w:tab w:val="clear" w:pos="420"/>
        </w:tabs>
        <w:kinsoku/>
        <w:wordWrap/>
        <w:overflowPunct/>
        <w:topLinePunct w:val="0"/>
        <w:autoSpaceDE w:val="0"/>
        <w:autoSpaceDN w:val="0"/>
        <w:bidi w:val="0"/>
        <w:adjustRightInd/>
        <w:snapToGrid/>
        <w:spacing w:before="0" w:beforeLines="100" w:after="0" w:afterLines="100" w:line="360" w:lineRule="auto"/>
        <w:ind w:left="425" w:leftChars="0" w:right="0" w:rightChars="0" w:hanging="425" w:firstLineChars="0"/>
        <w:jc w:val="both"/>
        <w:textAlignment w:val="auto"/>
        <w:outlineLvl w:val="0"/>
        <w:rPr>
          <w:rFonts w:hint="eastAsia" w:ascii="宋体" w:hAnsi="宋体" w:eastAsia="宋体" w:cs="宋体"/>
          <w:snapToGrid/>
          <w:color w:val="auto"/>
          <w:spacing w:val="-1"/>
          <w:szCs w:val="32"/>
          <w:lang w:val="en-US" w:eastAsia="zh-CN"/>
        </w:rPr>
      </w:pPr>
      <w:r>
        <w:rPr>
          <w:rFonts w:hint="eastAsia" w:ascii="宋体" w:hAnsi="宋体" w:eastAsia="宋体" w:cs="宋体"/>
          <w:snapToGrid/>
          <w:color w:val="auto"/>
          <w:spacing w:val="-1"/>
          <w:szCs w:val="32"/>
          <w:lang w:val="en-US" w:eastAsia="zh-CN"/>
        </w:rPr>
        <w:t>计算方法</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lang w:val="en-US" w:eastAsia="zh-CN"/>
        </w:rPr>
        <w:t>3</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1</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建筑工程绿色建材应用比例应按下式进行计算：</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rPr>
      </w:pPr>
      <w:r>
        <w:rPr>
          <w:rFonts w:hint="eastAsia" w:ascii="宋体" w:hAnsi="宋体" w:eastAsia="宋体" w:cs="宋体"/>
          <w:color w:val="auto"/>
        </w:rPr>
        <w:t>P=〔（Q1+Q2+Q3+Q4）/</w:t>
      </w:r>
      <w:r>
        <w:rPr>
          <w:rFonts w:hint="eastAsia" w:ascii="宋体" w:hAnsi="宋体" w:eastAsia="宋体" w:cs="宋体"/>
          <w:color w:val="auto"/>
          <w:lang w:eastAsia="zh-CN"/>
        </w:rPr>
        <w:t>（</w:t>
      </w:r>
      <w:r>
        <w:rPr>
          <w:rFonts w:hint="eastAsia" w:ascii="宋体" w:hAnsi="宋体" w:eastAsia="宋体" w:cs="宋体"/>
          <w:color w:val="auto"/>
        </w:rPr>
        <w:t>100</w:t>
      </w:r>
      <w:r>
        <w:rPr>
          <w:rFonts w:hint="eastAsia" w:ascii="宋体" w:hAnsi="宋体" w:eastAsia="宋体" w:cs="宋体"/>
          <w:color w:val="auto"/>
          <w:lang w:eastAsia="zh-CN"/>
        </w:rPr>
        <w:t>-</w:t>
      </w:r>
      <w:r>
        <w:rPr>
          <w:rFonts w:hint="eastAsia" w:ascii="宋体" w:hAnsi="宋体" w:eastAsia="宋体" w:cs="宋体"/>
          <w:color w:val="auto"/>
        </w:rPr>
        <w:t>Q</w:t>
      </w:r>
      <w:r>
        <w:rPr>
          <w:rFonts w:hint="eastAsia" w:ascii="宋体" w:hAnsi="宋体" w:eastAsia="宋体" w:cs="宋体"/>
          <w:color w:val="auto"/>
          <w:lang w:eastAsia="zh-CN"/>
        </w:rPr>
        <w:t>5）</w:t>
      </w:r>
      <w:r>
        <w:rPr>
          <w:rFonts w:hint="eastAsia" w:ascii="宋体" w:hAnsi="宋体" w:eastAsia="宋体" w:cs="宋体"/>
          <w:color w:val="auto"/>
        </w:rPr>
        <w:t>〕×100%</w:t>
      </w:r>
      <w:r>
        <w:rPr>
          <w:rFonts w:hint="eastAsia" w:ascii="宋体" w:hAnsi="宋体" w:eastAsia="宋体" w:cs="宋体"/>
          <w:color w:val="auto"/>
          <w:lang w:val="en-US" w:eastAsia="zh-CN"/>
        </w:rPr>
        <w:t xml:space="preserve">          </w:t>
      </w:r>
      <w:r>
        <w:rPr>
          <w:rFonts w:hint="eastAsia" w:ascii="宋体" w:hAnsi="宋体" w:eastAsia="宋体" w:cs="宋体"/>
          <w:color w:val="auto"/>
        </w:rPr>
        <w:t>（3.1）</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lang w:eastAsia="zh-CN"/>
        </w:rPr>
      </w:pPr>
      <w:r>
        <w:rPr>
          <w:rFonts w:hint="eastAsia" w:ascii="宋体" w:hAnsi="宋体" w:eastAsia="宋体" w:cs="宋体"/>
          <w:color w:val="auto"/>
          <w:lang w:eastAsia="zh-CN"/>
        </w:rPr>
        <w:t>式中： P-绿色建材应用比例；</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lang w:eastAsia="zh-CN"/>
        </w:rPr>
      </w:pPr>
      <w:r>
        <w:rPr>
          <w:rFonts w:hint="eastAsia" w:ascii="宋体" w:hAnsi="宋体" w:eastAsia="宋体" w:cs="宋体"/>
          <w:color w:val="auto"/>
          <w:lang w:eastAsia="zh-CN"/>
        </w:rPr>
        <w:t>Q1-主体及围护结构工程用材指标实际得分值；</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lang w:eastAsia="zh-CN"/>
        </w:rPr>
      </w:pPr>
      <w:r>
        <w:rPr>
          <w:rFonts w:hint="eastAsia" w:ascii="宋体" w:hAnsi="宋体" w:eastAsia="宋体" w:cs="宋体"/>
          <w:color w:val="auto"/>
          <w:lang w:eastAsia="zh-CN"/>
        </w:rPr>
        <w:t>Q2-装饰装修工程用材实际得分值；</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lang w:eastAsia="zh-CN"/>
        </w:rPr>
      </w:pPr>
      <w:r>
        <w:rPr>
          <w:rFonts w:hint="eastAsia" w:ascii="宋体" w:hAnsi="宋体" w:eastAsia="宋体" w:cs="宋体"/>
          <w:color w:val="auto"/>
          <w:lang w:eastAsia="zh-CN"/>
        </w:rPr>
        <w:t>Q3-机电安装工程用材实际得分值；</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lang w:eastAsia="zh-CN"/>
        </w:rPr>
      </w:pPr>
      <w:r>
        <w:rPr>
          <w:rFonts w:hint="eastAsia" w:ascii="宋体" w:hAnsi="宋体" w:eastAsia="宋体" w:cs="宋体"/>
          <w:color w:val="auto"/>
          <w:lang w:eastAsia="zh-CN"/>
        </w:rPr>
        <w:t>Q4-室外工程用材实际得分值。</w:t>
      </w:r>
    </w:p>
    <w:p>
      <w:pPr>
        <w:keepNext w:val="0"/>
        <w:keepLines w:val="0"/>
        <w:pageBreakBefore w:val="0"/>
        <w:kinsoku/>
        <w:wordWrap/>
        <w:overflowPunct/>
        <w:topLinePunct w:val="0"/>
        <w:autoSpaceDE w:val="0"/>
        <w:autoSpaceDN w:val="0"/>
        <w:bidi w:val="0"/>
        <w:ind w:left="0" w:leftChars="0" w:firstLine="840" w:firstLineChars="300"/>
        <w:jc w:val="both"/>
        <w:rPr>
          <w:rFonts w:hint="eastAsia" w:ascii="宋体" w:hAnsi="宋体" w:eastAsia="宋体" w:cs="宋体"/>
          <w:color w:val="auto"/>
          <w:lang w:eastAsia="zh-CN"/>
        </w:rPr>
      </w:pPr>
      <w:r>
        <w:rPr>
          <w:rFonts w:hint="eastAsia" w:ascii="宋体" w:hAnsi="宋体" w:eastAsia="宋体" w:cs="宋体"/>
          <w:color w:val="auto"/>
          <w:lang w:eastAsia="zh-CN"/>
        </w:rPr>
        <w:t>Q5-项目工程内不含的二级指标。</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lang w:val="en-US" w:eastAsia="zh-CN"/>
        </w:rPr>
        <w:t>3</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2</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绿色建材应用比例各项计算指标的实际得分值计算应按表3.2相关要求进行。</w:t>
      </w:r>
    </w:p>
    <w:p>
      <w:pPr>
        <w:pStyle w:val="2"/>
        <w:rPr>
          <w:rFonts w:hint="eastAsia" w:ascii="宋体" w:hAnsi="宋体" w:eastAsia="宋体" w:cs="宋体"/>
          <w:color w:val="auto"/>
          <w:lang w:eastAsia="zh-CN"/>
        </w:rPr>
      </w:pPr>
    </w:p>
    <w:p>
      <w:pPr>
        <w:pStyle w:val="3"/>
        <w:rPr>
          <w:rFonts w:hint="eastAsia" w:ascii="宋体" w:hAnsi="宋体" w:eastAsia="宋体" w:cs="宋体"/>
          <w:color w:val="auto"/>
          <w:lang w:eastAsia="zh-CN"/>
        </w:rPr>
      </w:pPr>
    </w:p>
    <w:p>
      <w:pPr>
        <w:rPr>
          <w:rFonts w:hint="eastAsia"/>
          <w:color w:val="auto"/>
          <w:lang w:eastAsia="zh-CN"/>
        </w:rPr>
      </w:pPr>
    </w:p>
    <w:p>
      <w:pPr>
        <w:keepNext w:val="0"/>
        <w:keepLines w:val="0"/>
        <w:pageBreakBefore w:val="0"/>
        <w:kinsoku/>
        <w:wordWrap/>
        <w:overflowPunct/>
        <w:topLinePunct w:val="0"/>
        <w:autoSpaceDE w:val="0"/>
        <w:autoSpaceDN w:val="0"/>
        <w:bidi w:val="0"/>
        <w:spacing w:before="69" w:line="221" w:lineRule="auto"/>
        <w:jc w:val="center"/>
        <w:rPr>
          <w:rFonts w:hint="eastAsia" w:ascii="宋体" w:hAnsi="宋体" w:eastAsia="宋体" w:cs="宋体"/>
          <w:b/>
          <w:bCs/>
          <w:color w:val="auto"/>
          <w:spacing w:val="-2"/>
          <w:lang w:eastAsia="zh-CN"/>
        </w:rPr>
      </w:pPr>
      <w:r>
        <w:rPr>
          <w:rFonts w:hint="eastAsia" w:ascii="宋体" w:hAnsi="宋体" w:eastAsia="宋体" w:cs="宋体"/>
          <w:b/>
          <w:bCs/>
          <w:color w:val="auto"/>
          <w:spacing w:val="-2"/>
          <w:lang w:eastAsia="zh-CN"/>
        </w:rPr>
        <w:t>表</w:t>
      </w:r>
      <w:r>
        <w:rPr>
          <w:rFonts w:hint="eastAsia" w:ascii="宋体" w:hAnsi="宋体" w:eastAsia="宋体" w:cs="宋体"/>
          <w:color w:val="auto"/>
          <w:spacing w:val="-36"/>
          <w:lang w:eastAsia="zh-CN"/>
        </w:rPr>
        <w:t xml:space="preserve"> </w:t>
      </w:r>
      <w:r>
        <w:rPr>
          <w:rFonts w:hint="eastAsia" w:ascii="宋体" w:hAnsi="宋体" w:eastAsia="宋体" w:cs="宋体"/>
          <w:b/>
          <w:bCs/>
          <w:color w:val="auto"/>
          <w:spacing w:val="-2"/>
          <w:lang w:eastAsia="zh-CN"/>
        </w:rPr>
        <w:t>3.2    绿色建材应用比例计算要求</w:t>
      </w:r>
    </w:p>
    <w:tbl>
      <w:tblPr>
        <w:tblStyle w:val="13"/>
        <w:tblW w:w="8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4"/>
        <w:gridCol w:w="2546"/>
        <w:gridCol w:w="2062"/>
        <w:gridCol w:w="582"/>
        <w:gridCol w:w="890"/>
        <w:gridCol w:w="1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8720" w:type="dxa"/>
            <w:gridSpan w:val="6"/>
            <w:tcBorders>
              <w:top w:val="single" w:color="000000" w:sz="12" w:space="0"/>
              <w:left w:val="single" w:color="000000" w:sz="12"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绿色建材应用比例计算要求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3400" w:type="dxa"/>
            <w:gridSpan w:val="2"/>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计算指标</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应用选择项及比例要求</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二级指标分值</w:t>
            </w: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计算</w:t>
            </w:r>
            <w:r>
              <w:rPr>
                <w:rFonts w:hint="eastAsia" w:ascii="宋体" w:hAnsi="宋体" w:eastAsia="宋体" w:cs="宋体"/>
                <w:b/>
                <w:i w:val="0"/>
                <w:snapToGrid w:val="0"/>
                <w:color w:val="auto"/>
                <w:kern w:val="0"/>
                <w:sz w:val="24"/>
                <w:szCs w:val="24"/>
                <w:u w:val="none"/>
                <w:lang w:val="en-US" w:eastAsia="zh-CN" w:bidi="ar"/>
              </w:rPr>
              <w:br w:type="textWrapping"/>
            </w:r>
            <w:r>
              <w:rPr>
                <w:rFonts w:hint="eastAsia" w:ascii="宋体" w:hAnsi="宋体" w:eastAsia="宋体" w:cs="宋体"/>
                <w:b/>
                <w:i w:val="0"/>
                <w:snapToGrid w:val="0"/>
                <w:color w:val="auto"/>
                <w:kern w:val="0"/>
                <w:sz w:val="24"/>
                <w:szCs w:val="24"/>
                <w:u w:val="none"/>
                <w:lang w:val="en-US" w:eastAsia="zh-CN" w:bidi="ar"/>
              </w:rPr>
              <w:t>分值</w:t>
            </w:r>
            <w:r>
              <w:rPr>
                <w:rFonts w:hint="eastAsia" w:ascii="宋体" w:hAnsi="宋体" w:eastAsia="宋体" w:cs="宋体"/>
                <w:b/>
                <w:i w:val="0"/>
                <w:snapToGrid w:val="0"/>
                <w:color w:val="auto"/>
                <w:kern w:val="0"/>
                <w:sz w:val="24"/>
                <w:szCs w:val="24"/>
                <w:u w:val="none"/>
                <w:lang w:val="en-US" w:eastAsia="zh-CN" w:bidi="ar"/>
              </w:rPr>
              <w:br w:type="textWrapping"/>
            </w:r>
            <w:r>
              <w:rPr>
                <w:rFonts w:hint="eastAsia" w:ascii="宋体" w:hAnsi="宋体" w:eastAsia="宋体" w:cs="宋体"/>
                <w:b/>
                <w:i w:val="0"/>
                <w:snapToGrid w:val="0"/>
                <w:color w:val="auto"/>
                <w:kern w:val="0"/>
                <w:sz w:val="24"/>
                <w:szCs w:val="24"/>
                <w:u w:val="none"/>
                <w:lang w:val="en-US" w:eastAsia="zh-CN" w:bidi="ar"/>
              </w:rPr>
              <w:t>（总分100）</w:t>
            </w:r>
          </w:p>
        </w:tc>
        <w:tc>
          <w:tcPr>
            <w:tcW w:w="1786"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6" w:hRule="atLeast"/>
        </w:trPr>
        <w:tc>
          <w:tcPr>
            <w:tcW w:w="854"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snapToGrid w:val="0"/>
                <w:color w:val="auto"/>
                <w:kern w:val="0"/>
                <w:sz w:val="24"/>
                <w:szCs w:val="24"/>
                <w:u w:val="none"/>
                <w:lang w:val="en-US" w:eastAsia="zh-CN" w:bidi="ar"/>
              </w:rPr>
            </w:pPr>
            <w:r>
              <w:rPr>
                <w:rFonts w:hint="eastAsia" w:ascii="宋体" w:hAnsi="宋体" w:eastAsia="宋体" w:cs="宋体"/>
                <w:b/>
                <w:i w:val="0"/>
                <w:snapToGrid w:val="0"/>
                <w:color w:val="auto"/>
                <w:kern w:val="0"/>
                <w:sz w:val="24"/>
                <w:szCs w:val="24"/>
                <w:u w:val="none"/>
                <w:lang w:val="en-US" w:eastAsia="zh-CN" w:bidi="ar"/>
              </w:rPr>
              <w:t>一级</w:t>
            </w:r>
          </w:p>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指标</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w:t>
            </w: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主体及围护结构工程用材Q1（共10项）</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预拌混凝土</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砖混结构及装配式混凝土结构必选,≥80%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rPr>
            </w:pPr>
            <w:r>
              <w:rPr>
                <w:rFonts w:hint="eastAsia" w:ascii="宋体" w:hAnsi="宋体" w:eastAsia="宋体" w:cs="宋体"/>
                <w:i w:val="0"/>
                <w:snapToGrid w:val="0"/>
                <w:color w:val="auto"/>
                <w:kern w:val="0"/>
                <w:sz w:val="24"/>
                <w:szCs w:val="24"/>
                <w:u w:val="none"/>
                <w:lang w:val="en-US" w:eastAsia="zh-CN" w:bidi="ar"/>
              </w:rPr>
              <w:t>45</w:t>
            </w:r>
          </w:p>
        </w:tc>
        <w:tc>
          <w:tcPr>
            <w:tcW w:w="1786"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Style w:val="20"/>
                <w:rFonts w:hint="eastAsia" w:ascii="宋体" w:hAnsi="宋体" w:eastAsia="宋体" w:cs="宋体"/>
                <w:snapToGrid w:val="0"/>
                <w:color w:val="auto"/>
                <w:sz w:val="24"/>
                <w:szCs w:val="24"/>
                <w:u w:val="none"/>
                <w:lang w:val="en-US" w:eastAsia="zh-CN" w:bidi="ar"/>
              </w:rPr>
              <w:t>其他土建材料包含但不限于以下材料</w:t>
            </w:r>
            <w:r>
              <w:rPr>
                <w:rStyle w:val="21"/>
                <w:rFonts w:hint="eastAsia" w:ascii="宋体" w:hAnsi="宋体" w:eastAsia="宋体" w:cs="宋体"/>
                <w:snapToGrid w:val="0"/>
                <w:color w:val="auto"/>
                <w:sz w:val="24"/>
                <w:szCs w:val="24"/>
                <w:u w:val="none"/>
                <w:lang w:val="en-US" w:eastAsia="zh-CN" w:bidi="ar"/>
              </w:rPr>
              <w:t>：轻钢龙骨、遮阳制品、集成房屋、结构修复材料、施工辅助机具及产品、厂拌沥青、固废再生材料及其制品等，每项2分，最多得4分。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混凝土结构构件、钢结构构件、现代木结构用材</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装配式混凝土结构建筑、钢结构建筑、木结构建筑必选,≥80%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rPr>
            </w:pPr>
            <w:r>
              <w:rPr>
                <w:rFonts w:hint="eastAsia" w:ascii="宋体" w:hAnsi="宋体" w:eastAsia="宋体" w:cs="宋体"/>
                <w:i w:val="0"/>
                <w:snapToGrid w:val="0"/>
                <w:color w:val="auto"/>
                <w:kern w:val="0"/>
                <w:sz w:val="24"/>
                <w:szCs w:val="24"/>
                <w:u w:val="none"/>
                <w:lang w:val="en-US" w:eastAsia="zh-CN" w:bidi="ar"/>
              </w:rPr>
              <w:t>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预拌砂浆</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砌体材料（含内外墙）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防水密封材料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rPr>
            </w:pPr>
            <w:r>
              <w:rPr>
                <w:rFonts w:hint="eastAsia" w:ascii="宋体" w:hAnsi="宋体" w:eastAsia="宋体" w:cs="宋体"/>
                <w:i w:val="0"/>
                <w:snapToGrid w:val="0"/>
                <w:color w:val="auto"/>
                <w:kern w:val="0"/>
                <w:sz w:val="24"/>
                <w:szCs w:val="24"/>
                <w:u w:val="none"/>
                <w:lang w:val="en-US" w:eastAsia="zh-CN" w:bidi="ar"/>
              </w:rPr>
              <w:t>4.5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保温隔热材料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节能外门窗/透光幕墙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非透光幕墙、外墙板</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钢筋及连接件</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其它土建材料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装饰装修工程用材Q2（共10项）</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snapToGrid w:val="0"/>
                <w:color w:val="auto"/>
                <w:kern w:val="0"/>
                <w:sz w:val="24"/>
                <w:szCs w:val="24"/>
                <w:u w:val="none"/>
                <w:lang w:val="en-US" w:eastAsia="zh-CN" w:bidi="ar"/>
              </w:rPr>
              <w:t>吊顶</w:t>
            </w:r>
            <w:r>
              <w:rPr>
                <w:rFonts w:hint="eastAsia" w:ascii="宋体" w:hAnsi="宋体" w:cs="宋体"/>
                <w:i w:val="0"/>
                <w:snapToGrid w:val="0"/>
                <w:color w:val="auto"/>
                <w:kern w:val="0"/>
                <w:sz w:val="24"/>
                <w:szCs w:val="24"/>
                <w:u w:val="none"/>
                <w:lang w:val="en-US" w:eastAsia="zh-CN" w:bidi="ar"/>
              </w:rPr>
              <w:t>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rPr>
            </w:pPr>
            <w:r>
              <w:rPr>
                <w:rFonts w:hint="eastAsia" w:ascii="宋体" w:hAnsi="宋体" w:eastAsia="宋体" w:cs="宋体"/>
                <w:i w:val="0"/>
                <w:snapToGrid w:val="0"/>
                <w:color w:val="auto"/>
                <w:kern w:val="0"/>
                <w:sz w:val="24"/>
                <w:szCs w:val="24"/>
                <w:u w:val="none"/>
                <w:lang w:val="en-US" w:eastAsia="zh-CN" w:bidi="ar"/>
              </w:rPr>
              <w:t>4.5</w:t>
            </w: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1786"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Style w:val="20"/>
                <w:rFonts w:hint="eastAsia" w:ascii="宋体" w:hAnsi="宋体" w:eastAsia="宋体" w:cs="宋体"/>
                <w:snapToGrid w:val="0"/>
                <w:color w:val="auto"/>
                <w:sz w:val="24"/>
                <w:szCs w:val="24"/>
                <w:u w:val="none"/>
                <w:lang w:val="en-US" w:eastAsia="zh-CN" w:bidi="ar"/>
              </w:rPr>
              <w:t>其他装饰材料包含但不限于以下材料</w:t>
            </w:r>
            <w:r>
              <w:rPr>
                <w:rStyle w:val="21"/>
                <w:rFonts w:hint="eastAsia" w:ascii="宋体" w:hAnsi="宋体" w:eastAsia="宋体" w:cs="宋体"/>
                <w:snapToGrid w:val="0"/>
                <w:color w:val="auto"/>
                <w:sz w:val="24"/>
                <w:szCs w:val="24"/>
                <w:u w:val="none"/>
                <w:lang w:val="en-US" w:eastAsia="zh-CN" w:bidi="ar"/>
              </w:rPr>
              <w:t>：抗菌净化材料、装配式集成墙面、整体橱柜、环保型壁纸（布）、装修装饰用木制品、装修装饰用金属制品、装修装饰用石材、其他建筑装饰板、建筑陶瓷制品等，每项1.5分，最多得3分。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楼地面、屋面装饰材料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snapToGrid w:val="0"/>
                <w:color w:val="auto"/>
                <w:kern w:val="0"/>
                <w:sz w:val="24"/>
                <w:szCs w:val="24"/>
                <w:u w:val="none"/>
                <w:lang w:val="en-US" w:eastAsia="zh-CN" w:bidi="ar"/>
              </w:rPr>
              <w:t>室内涂料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外墙装饰材料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建筑内隔墙板</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装配式建筑必选,≥80%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石膏装饰材料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建筑内门窗</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电气照明</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卫生洁具</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lang w:val="en-US"/>
              </w:rPr>
            </w:pPr>
            <w:r>
              <w:rPr>
                <w:rFonts w:hint="eastAsia" w:ascii="宋体" w:hAnsi="宋体" w:eastAsia="宋体" w:cs="宋体"/>
                <w:i w:val="0"/>
                <w:snapToGrid w:val="0"/>
                <w:color w:val="auto"/>
                <w:kern w:val="0"/>
                <w:sz w:val="24"/>
                <w:szCs w:val="24"/>
                <w:u w:val="none"/>
                <w:lang w:val="en-US" w:eastAsia="zh-CN" w:bidi="ar"/>
              </w:rPr>
              <w:t>3.5</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5"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其它装饰材料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机电安装工程用材Q3（共10项）</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给排水管材管件阀门</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15</w:t>
            </w:r>
          </w:p>
        </w:tc>
        <w:tc>
          <w:tcPr>
            <w:tcW w:w="1786"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Style w:val="20"/>
                <w:rFonts w:hint="eastAsia" w:ascii="宋体" w:hAnsi="宋体" w:eastAsia="宋体" w:cs="宋体"/>
                <w:snapToGrid w:val="0"/>
                <w:color w:val="auto"/>
                <w:sz w:val="24"/>
                <w:szCs w:val="24"/>
                <w:u w:val="none"/>
                <w:lang w:val="en-US" w:eastAsia="zh-CN" w:bidi="ar"/>
              </w:rPr>
              <w:t>其他机电材料包含但不限于以下材料</w:t>
            </w:r>
            <w:r>
              <w:rPr>
                <w:rStyle w:val="21"/>
                <w:rFonts w:hint="eastAsia" w:ascii="宋体" w:hAnsi="宋体" w:eastAsia="宋体" w:cs="宋体"/>
                <w:snapToGrid w:val="0"/>
                <w:color w:val="auto"/>
                <w:sz w:val="24"/>
                <w:szCs w:val="24"/>
                <w:u w:val="none"/>
                <w:lang w:val="en-US" w:eastAsia="zh-CN" w:bidi="ar"/>
              </w:rPr>
              <w:t>：其他采光系统产品、光伏发电系统、控制计量系统、辐射供暖设备及系统、蓄能材料及其装置、热交换器、风管用保温管（板）等，每项1分，最多得2分。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水处理设备/二次供水设备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高低压配电柜</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母线槽、电线电缆</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cs="宋体"/>
                <w:i w:val="0"/>
                <w:snapToGrid w:val="0"/>
                <w:color w:val="auto"/>
                <w:kern w:val="0"/>
                <w:sz w:val="24"/>
                <w:szCs w:val="24"/>
                <w:u w:val="none"/>
                <w:lang w:val="en-US" w:eastAsia="zh-CN" w:bidi="ar"/>
              </w:rPr>
              <w:t>充电桩</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智能电梯及传输系统</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冷热源设备、空调新风设备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风机盘管、保温复核风管、防火排烟风管</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设备隔振降噪装置</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1" w:hRule="atLeast"/>
        </w:trPr>
        <w:tc>
          <w:tcPr>
            <w:tcW w:w="854"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其他机电材料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restart"/>
            <w:tcBorders>
              <w:top w:val="single" w:color="000000" w:sz="4" w:space="0"/>
              <w:left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室外工程用材Q4（共3项）</w:t>
            </w: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透水铺装材料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786"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b/>
                <w:i w:val="0"/>
                <w:color w:val="auto"/>
                <w:sz w:val="24"/>
                <w:szCs w:val="24"/>
                <w:u w:val="none"/>
              </w:rPr>
            </w:pPr>
            <w:r>
              <w:rPr>
                <w:rStyle w:val="20"/>
                <w:rFonts w:hint="eastAsia" w:ascii="宋体" w:hAnsi="宋体" w:eastAsia="宋体" w:cs="宋体"/>
                <w:snapToGrid w:val="0"/>
                <w:color w:val="auto"/>
                <w:sz w:val="24"/>
                <w:szCs w:val="24"/>
                <w:u w:val="none"/>
                <w:lang w:val="en-US" w:eastAsia="zh-CN" w:bidi="ar"/>
              </w:rPr>
              <w:t>其他室外材料包含但不限于以下材料：</w:t>
            </w:r>
            <w:r>
              <w:rPr>
                <w:rStyle w:val="21"/>
                <w:rFonts w:hint="eastAsia" w:ascii="宋体" w:hAnsi="宋体" w:eastAsia="宋体" w:cs="宋体"/>
                <w:snapToGrid w:val="0"/>
                <w:color w:val="auto"/>
                <w:sz w:val="24"/>
                <w:szCs w:val="24"/>
                <w:u w:val="none"/>
                <w:lang w:val="en-US" w:eastAsia="zh-CN" w:bidi="ar"/>
              </w:rPr>
              <w:t>机械停车设备、雨水收集回用系统、建筑垃圾处置系统、园林用木竹材料、合成材料面层运动场地材料、渗管/渠、下沉式绿地材料、园林用石材等，每项</w:t>
            </w:r>
            <w:r>
              <w:rPr>
                <w:rFonts w:hint="eastAsia" w:ascii="宋体" w:hAnsi="宋体" w:eastAsia="宋体" w:cs="宋体"/>
                <w:i w:val="0"/>
                <w:snapToGrid w:val="0"/>
                <w:color w:val="auto"/>
                <w:kern w:val="0"/>
                <w:sz w:val="24"/>
                <w:szCs w:val="24"/>
                <w:u w:val="none"/>
                <w:lang w:val="en-US" w:eastAsia="zh-CN" w:bidi="ar"/>
              </w:rPr>
              <w:t>1</w:t>
            </w:r>
            <w:r>
              <w:rPr>
                <w:rStyle w:val="21"/>
                <w:rFonts w:hint="eastAsia" w:ascii="宋体" w:hAnsi="宋体" w:eastAsia="宋体" w:cs="宋体"/>
                <w:snapToGrid w:val="0"/>
                <w:color w:val="auto"/>
                <w:sz w:val="24"/>
                <w:szCs w:val="24"/>
                <w:u w:val="none"/>
                <w:lang w:val="en-US" w:eastAsia="zh-CN" w:bidi="ar"/>
              </w:rPr>
              <w:t>分，最多得</w:t>
            </w:r>
            <w:r>
              <w:rPr>
                <w:rFonts w:hint="eastAsia" w:ascii="宋体" w:hAnsi="宋体" w:eastAsia="宋体" w:cs="宋体"/>
                <w:i w:val="0"/>
                <w:snapToGrid w:val="0"/>
                <w:color w:val="auto"/>
                <w:kern w:val="0"/>
                <w:sz w:val="24"/>
                <w:szCs w:val="24"/>
                <w:u w:val="none"/>
                <w:lang w:val="en-US" w:eastAsia="zh-CN" w:bidi="ar"/>
              </w:rPr>
              <w:t>2</w:t>
            </w:r>
            <w:r>
              <w:rPr>
                <w:rStyle w:val="21"/>
                <w:rFonts w:hint="eastAsia" w:ascii="宋体" w:hAnsi="宋体" w:eastAsia="宋体" w:cs="宋体"/>
                <w:snapToGrid w:val="0"/>
                <w:color w:val="auto"/>
                <w:sz w:val="24"/>
                <w:szCs w:val="24"/>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54" w:type="dxa"/>
            <w:vMerge w:val="continue"/>
            <w:tcBorders>
              <w:left w:val="single" w:color="000000" w:sz="12"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屋面（垂直）绿化材料</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5" w:hRule="atLeast"/>
        </w:trPr>
        <w:tc>
          <w:tcPr>
            <w:tcW w:w="854" w:type="dxa"/>
            <w:vMerge w:val="continue"/>
            <w:tcBorders>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2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其他室外材料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1786"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3" w:hRule="atLeast"/>
        </w:trPr>
        <w:tc>
          <w:tcPr>
            <w:tcW w:w="854"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不参评项总和分值Q5</w:t>
            </w:r>
          </w:p>
        </w:tc>
        <w:tc>
          <w:tcPr>
            <w:tcW w:w="2546"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不参评项总和分值</w:t>
            </w:r>
          </w:p>
        </w:tc>
        <w:tc>
          <w:tcPr>
            <w:tcW w:w="206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p>
        </w:tc>
        <w:tc>
          <w:tcPr>
            <w:tcW w:w="3258" w:type="dxa"/>
            <w:gridSpan w:val="3"/>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both"/>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项目工程内不含的二级指标。</w:t>
            </w:r>
          </w:p>
        </w:tc>
      </w:tr>
    </w:tbl>
    <w:p>
      <w:pPr>
        <w:keepNext w:val="0"/>
        <w:keepLines w:val="0"/>
        <w:pageBreakBefore w:val="0"/>
        <w:kinsoku/>
        <w:wordWrap/>
        <w:overflowPunct/>
        <w:topLinePunct w:val="0"/>
        <w:autoSpaceDE w:val="0"/>
        <w:autoSpaceDN w:val="0"/>
        <w:bidi w:val="0"/>
        <w:spacing w:line="88" w:lineRule="exact"/>
        <w:jc w:val="both"/>
        <w:rPr>
          <w:rFonts w:hint="eastAsia" w:ascii="宋体" w:hAnsi="宋体" w:eastAsia="宋体" w:cs="宋体"/>
          <w:color w:val="auto"/>
          <w:lang w:eastAsia="zh-CN"/>
        </w:rPr>
      </w:pPr>
    </w:p>
    <w:p>
      <w:pPr>
        <w:keepNext w:val="0"/>
        <w:keepLines w:val="0"/>
        <w:pageBreakBefore w:val="0"/>
        <w:kinsoku/>
        <w:wordWrap/>
        <w:overflowPunct/>
        <w:topLinePunct w:val="0"/>
        <w:autoSpaceDE w:val="0"/>
        <w:autoSpaceDN w:val="0"/>
        <w:bidi w:val="0"/>
        <w:spacing w:line="90" w:lineRule="auto"/>
        <w:jc w:val="both"/>
        <w:rPr>
          <w:rFonts w:hint="eastAsia" w:ascii="宋体" w:hAnsi="宋体" w:eastAsia="宋体" w:cs="宋体"/>
          <w:color w:val="auto"/>
          <w:sz w:val="2"/>
          <w:lang w:eastAsia="zh-CN"/>
        </w:rPr>
      </w:pP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b/>
          <w:bCs/>
          <w:color w:val="auto"/>
          <w:u w:val="none"/>
          <w:lang w:val="en-US" w:eastAsia="zh-CN"/>
        </w:rPr>
        <w:t>3</w:t>
      </w:r>
      <w:r>
        <w:rPr>
          <w:rFonts w:hint="eastAsia" w:ascii="宋体" w:hAnsi="宋体" w:eastAsia="宋体" w:cs="宋体"/>
          <w:b/>
          <w:bCs/>
          <w:color w:val="auto"/>
          <w:u w:val="none"/>
          <w:lang w:eastAsia="zh-CN"/>
        </w:rPr>
        <w:t>.</w:t>
      </w:r>
      <w:r>
        <w:rPr>
          <w:rFonts w:hint="eastAsia" w:ascii="宋体" w:hAnsi="宋体" w:eastAsia="宋体" w:cs="宋体"/>
          <w:b/>
          <w:bCs/>
          <w:color w:val="auto"/>
          <w:u w:val="none"/>
          <w:lang w:val="en-US" w:eastAsia="zh-CN"/>
        </w:rPr>
        <w:t>3</w:t>
      </w:r>
      <w:r>
        <w:rPr>
          <w:rFonts w:hint="eastAsia" w:ascii="宋体" w:hAnsi="宋体" w:eastAsia="宋体" w:cs="宋体"/>
          <w:b/>
          <w:bCs/>
          <w:color w:val="auto"/>
          <w:u w:val="none"/>
          <w:lang w:eastAsia="zh-CN"/>
        </w:rPr>
        <w:t xml:space="preserve">   </w:t>
      </w:r>
      <w:r>
        <w:rPr>
          <w:rFonts w:hint="eastAsia" w:ascii="宋体" w:hAnsi="宋体" w:eastAsia="宋体" w:cs="宋体"/>
          <w:b/>
          <w:bCs/>
          <w:color w:val="auto"/>
          <w:u w:val="none"/>
          <w:lang w:val="en-US" w:eastAsia="zh-CN"/>
        </w:rPr>
        <w:t xml:space="preserve">  </w:t>
      </w:r>
      <w:r>
        <w:rPr>
          <w:rFonts w:hint="eastAsia" w:ascii="宋体" w:hAnsi="宋体" w:eastAsia="宋体" w:cs="宋体"/>
          <w:b/>
          <w:bCs/>
          <w:color w:val="auto"/>
          <w:u w:val="none"/>
          <w:lang w:eastAsia="zh-CN"/>
        </w:rPr>
        <w:t xml:space="preserve"> </w:t>
      </w:r>
      <w:r>
        <w:rPr>
          <w:rFonts w:hint="eastAsia" w:ascii="宋体" w:hAnsi="宋体" w:eastAsia="宋体" w:cs="宋体"/>
          <w:color w:val="auto"/>
          <w:u w:val="none"/>
          <w:lang w:eastAsia="zh-CN"/>
        </w:rPr>
        <w:t>应将结算材料清单映射归类到二级指标中，以判定清单中材料归属于哪类绿色建材产品，其相应技术指标应符合中国工程建设标准化协会《绿色建材评价》系列标准，或《福州市绿色建筑和绿色建材政府采购基本要求</w:t>
      </w:r>
      <w:r>
        <w:rPr>
          <w:rFonts w:hint="eastAsia"/>
          <w:color w:val="auto"/>
          <w:u w:val="none"/>
          <w:lang w:eastAsia="zh-CN"/>
        </w:rPr>
        <w:t>（</w:t>
      </w:r>
      <w:r>
        <w:rPr>
          <w:rFonts w:hint="eastAsia"/>
          <w:color w:val="auto"/>
          <w:u w:val="none"/>
          <w:lang w:val="en-US" w:eastAsia="zh-CN"/>
        </w:rPr>
        <w:t>2026年版</w:t>
      </w:r>
      <w:r>
        <w:rPr>
          <w:rFonts w:hint="eastAsia"/>
          <w:color w:val="auto"/>
          <w:u w:val="none"/>
          <w:lang w:eastAsia="zh-CN"/>
        </w:rPr>
        <w:t>）</w:t>
      </w:r>
      <w:r>
        <w:rPr>
          <w:rFonts w:hint="eastAsia" w:ascii="宋体" w:hAnsi="宋体" w:eastAsia="宋体" w:cs="宋体"/>
          <w:color w:val="auto"/>
          <w:u w:val="none"/>
          <w:lang w:eastAsia="zh-CN"/>
        </w:rPr>
        <w:t>》相关指标要求，宜以绿色建材评价、认证证书及绿色建材采信应用数据库为依据。</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b/>
          <w:bCs/>
          <w:color w:val="auto"/>
          <w:u w:val="none"/>
          <w:lang w:val="en-US" w:eastAsia="zh-CN"/>
        </w:rPr>
        <w:t>3</w:t>
      </w:r>
      <w:r>
        <w:rPr>
          <w:rFonts w:hint="eastAsia" w:ascii="宋体" w:hAnsi="宋体" w:eastAsia="宋体" w:cs="宋体"/>
          <w:b/>
          <w:bCs/>
          <w:color w:val="auto"/>
          <w:u w:val="none"/>
          <w:lang w:eastAsia="zh-CN"/>
        </w:rPr>
        <w:t>.</w:t>
      </w:r>
      <w:r>
        <w:rPr>
          <w:rFonts w:hint="eastAsia" w:ascii="宋体" w:hAnsi="宋体" w:eastAsia="宋体" w:cs="宋体"/>
          <w:b/>
          <w:bCs/>
          <w:color w:val="auto"/>
          <w:u w:val="none"/>
          <w:lang w:val="en-US" w:eastAsia="zh-CN"/>
        </w:rPr>
        <w:t>4</w:t>
      </w:r>
      <w:r>
        <w:rPr>
          <w:rFonts w:hint="eastAsia" w:ascii="宋体" w:hAnsi="宋体" w:eastAsia="宋体" w:cs="宋体"/>
          <w:b/>
          <w:bCs/>
          <w:color w:val="auto"/>
          <w:u w:val="none"/>
          <w:lang w:eastAsia="zh-CN"/>
        </w:rPr>
        <w:t xml:space="preserve">   </w:t>
      </w:r>
      <w:r>
        <w:rPr>
          <w:rFonts w:hint="eastAsia" w:ascii="宋体" w:hAnsi="宋体" w:eastAsia="宋体" w:cs="宋体"/>
          <w:b/>
          <w:bCs/>
          <w:color w:val="auto"/>
          <w:u w:val="none"/>
          <w:lang w:val="en-US" w:eastAsia="zh-CN"/>
        </w:rPr>
        <w:t xml:space="preserve">  </w:t>
      </w:r>
      <w:r>
        <w:rPr>
          <w:rFonts w:hint="eastAsia" w:ascii="宋体" w:hAnsi="宋体" w:eastAsia="宋体" w:cs="宋体"/>
          <w:b/>
          <w:bCs/>
          <w:color w:val="auto"/>
          <w:u w:val="none"/>
          <w:lang w:eastAsia="zh-CN"/>
        </w:rPr>
        <w:t xml:space="preserve"> </w:t>
      </w:r>
      <w:r>
        <w:rPr>
          <w:rFonts w:hint="eastAsia" w:ascii="宋体" w:hAnsi="宋体" w:eastAsia="宋体" w:cs="宋体"/>
          <w:color w:val="auto"/>
          <w:u w:val="none"/>
          <w:lang w:eastAsia="zh-CN"/>
        </w:rPr>
        <w:t>每个二级指标根据所用的所有材料计算绿色建材占比</w:t>
      </w:r>
      <w:r>
        <w:rPr>
          <w:rFonts w:hint="eastAsia" w:ascii="宋体" w:hAnsi="宋体" w:eastAsia="宋体" w:cs="宋体"/>
          <w:color w:val="auto"/>
          <w:u w:val="none"/>
          <w:lang w:val="en-US" w:eastAsia="zh-CN"/>
        </w:rPr>
        <w:t>；</w:t>
      </w:r>
      <w:r>
        <w:rPr>
          <w:rFonts w:hint="eastAsia" w:ascii="宋体" w:hAnsi="宋体" w:eastAsia="宋体" w:cs="宋体"/>
          <w:color w:val="auto"/>
          <w:u w:val="none"/>
          <w:lang w:eastAsia="zh-CN"/>
        </w:rPr>
        <w:t>占比大于80%（含</w:t>
      </w:r>
      <w:r>
        <w:rPr>
          <w:rFonts w:hint="eastAsia" w:ascii="宋体" w:hAnsi="宋体" w:eastAsia="宋体" w:cs="宋体"/>
          <w:color w:val="auto"/>
          <w:u w:val="none"/>
          <w:lang w:val="en-US" w:eastAsia="zh-CN"/>
        </w:rPr>
        <w:t>80%</w:t>
      </w:r>
      <w:r>
        <w:rPr>
          <w:rFonts w:hint="eastAsia" w:ascii="宋体" w:hAnsi="宋体" w:eastAsia="宋体" w:cs="宋体"/>
          <w:color w:val="auto"/>
          <w:u w:val="none"/>
          <w:lang w:eastAsia="zh-CN"/>
        </w:rPr>
        <w:t>），获得对应二级指标全部分值；必选项</w:t>
      </w:r>
      <w:r>
        <w:rPr>
          <w:rFonts w:hint="eastAsia" w:ascii="宋体" w:hAnsi="宋体" w:eastAsia="宋体" w:cs="宋体"/>
          <w:color w:val="auto"/>
          <w:u w:val="none"/>
          <w:lang w:val="en-US" w:eastAsia="zh-CN"/>
        </w:rPr>
        <w:t>绿色建材占比必须</w:t>
      </w:r>
      <w:r>
        <w:rPr>
          <w:rFonts w:hint="eastAsia" w:ascii="宋体" w:hAnsi="宋体" w:eastAsia="宋体" w:cs="宋体"/>
          <w:color w:val="auto"/>
          <w:u w:val="none"/>
          <w:lang w:eastAsia="zh-CN"/>
        </w:rPr>
        <w:t>大于80%（含</w:t>
      </w:r>
      <w:r>
        <w:rPr>
          <w:rFonts w:hint="eastAsia" w:ascii="宋体" w:hAnsi="宋体" w:eastAsia="宋体" w:cs="宋体"/>
          <w:color w:val="auto"/>
          <w:u w:val="none"/>
          <w:lang w:val="en-US" w:eastAsia="zh-CN"/>
        </w:rPr>
        <w:t>80%</w:t>
      </w:r>
      <w:r>
        <w:rPr>
          <w:rFonts w:hint="eastAsia" w:ascii="宋体" w:hAnsi="宋体" w:eastAsia="宋体" w:cs="宋体"/>
          <w:color w:val="auto"/>
          <w:u w:val="none"/>
          <w:lang w:eastAsia="zh-CN"/>
        </w:rPr>
        <w:t>）。</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u w:val="none"/>
          <w:lang w:val="en-US" w:eastAsia="zh-CN"/>
        </w:rPr>
        <w:t>3</w:t>
      </w:r>
      <w:r>
        <w:rPr>
          <w:rFonts w:hint="eastAsia" w:ascii="宋体" w:hAnsi="宋体" w:eastAsia="宋体" w:cs="宋体"/>
          <w:b/>
          <w:bCs/>
          <w:color w:val="auto"/>
          <w:u w:val="none"/>
          <w:lang w:eastAsia="zh-CN"/>
        </w:rPr>
        <w:t>.</w:t>
      </w:r>
      <w:r>
        <w:rPr>
          <w:rFonts w:hint="eastAsia" w:ascii="宋体" w:hAnsi="宋体" w:eastAsia="宋体" w:cs="宋体"/>
          <w:b/>
          <w:bCs/>
          <w:color w:val="auto"/>
          <w:u w:val="none"/>
          <w:lang w:val="en-US" w:eastAsia="zh-CN"/>
        </w:rPr>
        <w:t>5</w:t>
      </w:r>
      <w:r>
        <w:rPr>
          <w:rFonts w:hint="eastAsia" w:ascii="宋体" w:hAnsi="宋体" w:eastAsia="宋体" w:cs="宋体"/>
          <w:b/>
          <w:bCs/>
          <w:color w:val="auto"/>
          <w:u w:val="none"/>
          <w:lang w:eastAsia="zh-CN"/>
        </w:rPr>
        <w:t xml:space="preserve">   </w:t>
      </w:r>
      <w:r>
        <w:rPr>
          <w:rFonts w:hint="eastAsia" w:ascii="宋体" w:hAnsi="宋体" w:eastAsia="宋体" w:cs="宋体"/>
          <w:b/>
          <w:bCs/>
          <w:color w:val="auto"/>
          <w:u w:val="none"/>
          <w:lang w:val="en-US" w:eastAsia="zh-CN"/>
        </w:rPr>
        <w:t xml:space="preserve">  </w:t>
      </w:r>
      <w:r>
        <w:rPr>
          <w:rFonts w:hint="eastAsia" w:ascii="宋体" w:hAnsi="宋体" w:eastAsia="宋体" w:cs="宋体"/>
          <w:b/>
          <w:bCs/>
          <w:color w:val="auto"/>
          <w:u w:val="none"/>
          <w:lang w:eastAsia="zh-CN"/>
        </w:rPr>
        <w:t xml:space="preserve"> </w:t>
      </w:r>
      <w:r>
        <w:rPr>
          <w:rFonts w:hint="eastAsia" w:ascii="宋体" w:hAnsi="宋体" w:eastAsia="宋体" w:cs="宋体"/>
          <w:color w:val="auto"/>
          <w:u w:val="none"/>
          <w:lang w:eastAsia="zh-CN"/>
        </w:rPr>
        <w:t>每个一级指标下均有一个“其它材料”二级指标，该指标可根据项目实际建材使用情况添加现有二级指标目录中未列入的建筑材</w:t>
      </w:r>
      <w:r>
        <w:rPr>
          <w:rFonts w:hint="eastAsia" w:ascii="宋体" w:hAnsi="宋体" w:eastAsia="宋体" w:cs="宋体"/>
          <w:color w:val="auto"/>
          <w:lang w:eastAsia="zh-CN"/>
        </w:rPr>
        <w:t>料。在每一类二级指标下，可根据项目实际建材使用情况添加现有三级指标目录中未列入的建筑材料可以1个及以上“其它”三级指标形式出现。</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lang w:val="en-US" w:eastAsia="zh-CN"/>
        </w:rPr>
        <w:t>3</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6</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按绿色建材产品分级认证目录计算4类计算指标分值，分值计算结果取小数点后1位。</w:t>
      </w:r>
    </w:p>
    <w:p>
      <w:pPr>
        <w:keepNext w:val="0"/>
        <w:keepLines w:val="0"/>
        <w:pageBreakBefore w:val="0"/>
        <w:kinsoku/>
        <w:wordWrap/>
        <w:overflowPunct/>
        <w:topLinePunct w:val="0"/>
        <w:autoSpaceDE w:val="0"/>
        <w:autoSpaceDN w:val="0"/>
        <w:bidi w:val="0"/>
        <w:spacing w:before="78" w:line="360" w:lineRule="auto"/>
        <w:ind w:left="123" w:right="2" w:hanging="7"/>
        <w:jc w:val="both"/>
        <w:rPr>
          <w:rFonts w:hint="eastAsia" w:ascii="宋体" w:hAnsi="宋体" w:eastAsia="宋体" w:cs="宋体"/>
          <w:color w:val="auto"/>
          <w:spacing w:val="2"/>
          <w:sz w:val="24"/>
          <w:szCs w:val="24"/>
          <w:lang w:eastAsia="zh-CN"/>
        </w:rPr>
      </w:pPr>
    </w:p>
    <w:p>
      <w:pPr>
        <w:pStyle w:val="4"/>
        <w:keepNext w:val="0"/>
        <w:keepLines w:val="0"/>
        <w:pageBreakBefore w:val="0"/>
        <w:widowControl w:val="0"/>
        <w:numPr>
          <w:ilvl w:val="0"/>
          <w:numId w:val="1"/>
        </w:numPr>
        <w:tabs>
          <w:tab w:val="left" w:pos="4161"/>
          <w:tab w:val="clear" w:pos="420"/>
        </w:tabs>
        <w:kinsoku/>
        <w:wordWrap/>
        <w:overflowPunct/>
        <w:topLinePunct w:val="0"/>
        <w:autoSpaceDE w:val="0"/>
        <w:autoSpaceDN w:val="0"/>
        <w:bidi w:val="0"/>
        <w:adjustRightInd/>
        <w:snapToGrid/>
        <w:spacing w:before="0" w:beforeLines="100" w:after="0" w:afterLines="100" w:line="360" w:lineRule="auto"/>
        <w:ind w:left="425" w:leftChars="0" w:right="0" w:rightChars="0" w:hanging="425" w:firstLineChars="0"/>
        <w:jc w:val="both"/>
        <w:textAlignment w:val="auto"/>
        <w:outlineLvl w:val="0"/>
        <w:rPr>
          <w:rFonts w:hint="eastAsia" w:ascii="宋体" w:hAnsi="宋体" w:eastAsia="宋体" w:cs="宋体"/>
          <w:snapToGrid/>
          <w:color w:val="auto"/>
          <w:spacing w:val="-1"/>
          <w:szCs w:val="32"/>
          <w:lang w:val="en-US" w:eastAsia="zh-CN"/>
        </w:rPr>
      </w:pPr>
      <w:r>
        <w:rPr>
          <w:rFonts w:hint="eastAsia" w:ascii="宋体" w:hAnsi="宋体" w:eastAsia="宋体" w:cs="宋体"/>
          <w:snapToGrid/>
          <w:color w:val="auto"/>
          <w:spacing w:val="-1"/>
          <w:szCs w:val="32"/>
          <w:lang w:val="en-US" w:eastAsia="zh-CN"/>
        </w:rPr>
        <w:t>资料及流程</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lang w:val="en-US" w:eastAsia="zh-CN"/>
        </w:rPr>
        <w:t>4</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1</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开展绿色建材应用比例计算的项目，所提交的评价材料应符合《福州市绿色建材应用试点项目设计及评价导则（试行）》中的相关要求，设计单位、建设单位和施工单位应保证提交材料的真实性、完整性和可追溯性。</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b/>
          <w:bCs/>
          <w:color w:val="auto"/>
          <w:lang w:val="en-US" w:eastAsia="zh-CN"/>
        </w:rPr>
        <w:t>4</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2</w:t>
      </w:r>
      <w:r>
        <w:rPr>
          <w:rFonts w:hint="eastAsia" w:ascii="宋体" w:hAnsi="宋体" w:eastAsia="宋体" w:cs="宋体"/>
          <w:b/>
          <w:bCs/>
          <w:color w:val="auto"/>
          <w:lang w:eastAsia="zh-CN"/>
        </w:rPr>
        <w:t xml:space="preserve">   </w:t>
      </w:r>
      <w:r>
        <w:rPr>
          <w:rFonts w:hint="eastAsia" w:ascii="宋体" w:hAnsi="宋体" w:eastAsia="宋体" w:cs="宋体"/>
          <w:b/>
          <w:bCs/>
          <w:color w:val="auto"/>
          <w:lang w:val="en-US" w:eastAsia="zh-CN"/>
        </w:rPr>
        <w:t xml:space="preserve">  </w:t>
      </w:r>
      <w:r>
        <w:rPr>
          <w:rFonts w:hint="eastAsia" w:ascii="宋体" w:hAnsi="宋体" w:eastAsia="宋体" w:cs="宋体"/>
          <w:b/>
          <w:bCs/>
          <w:color w:val="auto"/>
          <w:lang w:eastAsia="zh-CN"/>
        </w:rPr>
        <w:t xml:space="preserve"> </w:t>
      </w:r>
      <w:r>
        <w:rPr>
          <w:rFonts w:hint="eastAsia" w:ascii="宋体" w:hAnsi="宋体" w:eastAsia="宋体" w:cs="宋体"/>
          <w:color w:val="auto"/>
          <w:lang w:eastAsia="zh-CN"/>
        </w:rPr>
        <w:t>开展绿色建材应用比例计算的项目，设计阶段应于绿色建筑设计专篇中提交绿色建材应用比例计算表（附件</w:t>
      </w:r>
      <w:r>
        <w:rPr>
          <w:rFonts w:hint="eastAsia" w:ascii="宋体" w:hAnsi="宋体" w:cs="宋体"/>
          <w:color w:val="auto"/>
          <w:lang w:val="en-US" w:eastAsia="zh-CN"/>
        </w:rPr>
        <w:t>A</w:t>
      </w:r>
      <w:r>
        <w:rPr>
          <w:rFonts w:hint="eastAsia" w:ascii="宋体" w:hAnsi="宋体" w:eastAsia="宋体" w:cs="宋体"/>
          <w:color w:val="auto"/>
          <w:lang w:eastAsia="zh-CN"/>
        </w:rPr>
        <w:t>）；竣工验收阶段应提交绿色建材应用比例计算报告（附件</w:t>
      </w:r>
      <w:r>
        <w:rPr>
          <w:rFonts w:hint="eastAsia" w:ascii="宋体" w:hAnsi="宋体" w:cs="宋体"/>
          <w:color w:val="auto"/>
          <w:lang w:val="en-US" w:eastAsia="zh-CN"/>
        </w:rPr>
        <w:t>B</w:t>
      </w:r>
      <w:r>
        <w:rPr>
          <w:rFonts w:hint="eastAsia" w:ascii="宋体" w:hAnsi="宋体" w:eastAsia="宋体" w:cs="宋体"/>
          <w:color w:val="auto"/>
          <w:lang w:eastAsia="zh-CN"/>
        </w:rPr>
        <w:t>），需包含以下内容：</w:t>
      </w:r>
    </w:p>
    <w:p>
      <w:pPr>
        <w:keepNext w:val="0"/>
        <w:keepLines w:val="0"/>
        <w:pageBreakBefore w:val="0"/>
        <w:kinsoku/>
        <w:wordWrap/>
        <w:overflowPunct/>
        <w:topLinePunct w:val="0"/>
        <w:autoSpaceDE w:val="0"/>
        <w:autoSpaceDN w:val="0"/>
        <w:bidi w:val="0"/>
        <w:ind w:left="0" w:leftChars="0" w:firstLine="56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1    基本情况表；</w:t>
      </w:r>
    </w:p>
    <w:p>
      <w:pPr>
        <w:keepNext w:val="0"/>
        <w:keepLines w:val="0"/>
        <w:pageBreakBefore w:val="0"/>
        <w:kinsoku/>
        <w:wordWrap/>
        <w:overflowPunct/>
        <w:topLinePunct w:val="0"/>
        <w:autoSpaceDE w:val="0"/>
        <w:autoSpaceDN w:val="0"/>
        <w:bidi w:val="0"/>
        <w:ind w:left="0" w:leftChars="0" w:firstLine="56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2    主要建筑材料应用明细表；</w:t>
      </w:r>
    </w:p>
    <w:p>
      <w:pPr>
        <w:keepNext w:val="0"/>
        <w:keepLines w:val="0"/>
        <w:pageBreakBefore w:val="0"/>
        <w:kinsoku/>
        <w:wordWrap/>
        <w:overflowPunct/>
        <w:topLinePunct w:val="0"/>
        <w:autoSpaceDE w:val="0"/>
        <w:autoSpaceDN w:val="0"/>
        <w:bidi w:val="0"/>
        <w:ind w:left="0" w:leftChars="0" w:firstLine="56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3    绿色建材应用比例计算汇总表；</w:t>
      </w:r>
    </w:p>
    <w:p>
      <w:pPr>
        <w:keepNext w:val="0"/>
        <w:keepLines w:val="0"/>
        <w:pageBreakBefore w:val="0"/>
        <w:kinsoku/>
        <w:wordWrap/>
        <w:overflowPunct/>
        <w:topLinePunct w:val="0"/>
        <w:autoSpaceDE w:val="0"/>
        <w:autoSpaceDN w:val="0"/>
        <w:bidi w:val="0"/>
        <w:ind w:left="0" w:leftChars="0" w:firstLine="56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eastAsia="宋体" w:cs="宋体"/>
          <w:color w:val="auto"/>
          <w:lang w:eastAsia="zh-CN"/>
        </w:rPr>
        <w:t xml:space="preserve">    现场抽查核验佐证材料。</w:t>
      </w:r>
    </w:p>
    <w:p>
      <w:pPr>
        <w:keepNext w:val="0"/>
        <w:keepLines w:val="0"/>
        <w:pageBreakBefore w:val="0"/>
        <w:kinsoku/>
        <w:wordWrap/>
        <w:overflowPunct/>
        <w:topLinePunct w:val="0"/>
        <w:autoSpaceDE w:val="0"/>
        <w:autoSpaceDN w:val="0"/>
        <w:bidi w:val="0"/>
        <w:spacing w:before="183" w:line="220" w:lineRule="auto"/>
        <w:ind w:left="389"/>
        <w:jc w:val="both"/>
        <w:rPr>
          <w:rFonts w:hint="eastAsia" w:ascii="宋体" w:hAnsi="宋体" w:eastAsia="宋体" w:cs="宋体"/>
          <w:color w:val="auto"/>
          <w:spacing w:val="-2"/>
          <w:sz w:val="24"/>
          <w:szCs w:val="24"/>
          <w:lang w:eastAsia="zh-CN"/>
        </w:rPr>
        <w:sectPr>
          <w:pgSz w:w="11907" w:h="16839"/>
          <w:pgMar w:top="1582" w:right="1621" w:bottom="1281" w:left="1638" w:header="0" w:footer="1106" w:gutter="0"/>
          <w:pgNumType w:fmt="decimal" w:start="1"/>
          <w:cols w:space="0" w:num="1"/>
          <w:rtlGutter w:val="0"/>
          <w:docGrid w:linePitch="0" w:charSpace="0"/>
        </w:sectPr>
      </w:pPr>
    </w:p>
    <w:p>
      <w:pPr>
        <w:keepNext w:val="0"/>
        <w:keepLines w:val="0"/>
        <w:pageBreakBefore w:val="0"/>
        <w:kinsoku/>
        <w:wordWrap/>
        <w:overflowPunct/>
        <w:topLinePunct w:val="0"/>
        <w:autoSpaceDE w:val="0"/>
        <w:autoSpaceDN w:val="0"/>
        <w:bidi w:val="0"/>
        <w:spacing w:before="121" w:line="220" w:lineRule="auto"/>
        <w:ind w:left="0"/>
        <w:jc w:val="both"/>
        <w:rPr>
          <w:rFonts w:hint="eastAsia" w:ascii="宋体" w:hAnsi="宋体" w:eastAsia="宋体" w:cs="宋体"/>
          <w:b/>
          <w:bCs/>
          <w:color w:val="auto"/>
          <w:spacing w:val="-9"/>
          <w:sz w:val="32"/>
          <w:szCs w:val="32"/>
          <w:lang w:val="en-US" w:eastAsia="zh-CN"/>
        </w:rPr>
      </w:pPr>
      <w:r>
        <w:rPr>
          <w:rFonts w:hint="eastAsia" w:ascii="宋体" w:hAnsi="宋体" w:eastAsia="宋体" w:cs="宋体"/>
          <w:b/>
          <w:bCs/>
          <w:color w:val="auto"/>
          <w:spacing w:val="-9"/>
          <w:sz w:val="32"/>
          <w:szCs w:val="32"/>
          <w:lang w:eastAsia="zh-CN"/>
        </w:rPr>
        <w:t>附录</w:t>
      </w:r>
      <w:r>
        <w:rPr>
          <w:rFonts w:hint="eastAsia" w:ascii="宋体" w:hAnsi="宋体" w:eastAsia="宋体" w:cs="宋体"/>
          <w:b/>
          <w:bCs/>
          <w:color w:val="auto"/>
          <w:spacing w:val="-9"/>
          <w:sz w:val="32"/>
          <w:szCs w:val="32"/>
          <w:lang w:val="en-US" w:eastAsia="zh-CN"/>
        </w:rPr>
        <w:t xml:space="preserve"> A</w:t>
      </w:r>
    </w:p>
    <w:p>
      <w:pPr>
        <w:keepNext w:val="0"/>
        <w:keepLines w:val="0"/>
        <w:pageBreakBefore w:val="0"/>
        <w:kinsoku/>
        <w:wordWrap/>
        <w:overflowPunct/>
        <w:topLinePunct w:val="0"/>
        <w:autoSpaceDE w:val="0"/>
        <w:autoSpaceDN w:val="0"/>
        <w:bidi w:val="0"/>
        <w:spacing w:before="79" w:line="221" w:lineRule="auto"/>
        <w:ind w:left="0"/>
        <w:jc w:val="center"/>
        <w:outlineLvl w:val="0"/>
        <w:rPr>
          <w:rFonts w:hint="eastAsia" w:ascii="宋体" w:hAnsi="宋体" w:eastAsia="宋体" w:cs="宋体"/>
          <w:b/>
          <w:bCs/>
          <w:color w:val="auto"/>
          <w:spacing w:val="-9"/>
          <w:sz w:val="28"/>
          <w:szCs w:val="28"/>
          <w:u w:val="none"/>
          <w:lang w:val="en-US" w:eastAsia="zh-CN"/>
        </w:rPr>
      </w:pPr>
      <w:r>
        <w:rPr>
          <w:rFonts w:hint="eastAsia" w:ascii="宋体" w:hAnsi="宋体" w:eastAsia="宋体" w:cs="宋体"/>
          <w:b/>
          <w:bCs/>
          <w:color w:val="auto"/>
          <w:spacing w:val="-6"/>
          <w:sz w:val="28"/>
          <w:szCs w:val="28"/>
          <w:u w:val="none"/>
          <w:lang w:val="en-US" w:eastAsia="zh-CN"/>
        </w:rPr>
        <w:t>绿色建材应用比例计算表——设计阶段</w:t>
      </w:r>
    </w:p>
    <w:tbl>
      <w:tblPr>
        <w:tblStyle w:val="13"/>
        <w:tblW w:w="141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71"/>
        <w:gridCol w:w="540"/>
        <w:gridCol w:w="2512"/>
        <w:gridCol w:w="1982"/>
        <w:gridCol w:w="1097"/>
        <w:gridCol w:w="511"/>
        <w:gridCol w:w="1407"/>
        <w:gridCol w:w="1405"/>
        <w:gridCol w:w="1194"/>
        <w:gridCol w:w="2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4023" w:type="dxa"/>
            <w:gridSpan w:val="3"/>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计算指标</w:t>
            </w:r>
          </w:p>
        </w:tc>
        <w:tc>
          <w:tcPr>
            <w:tcW w:w="1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应用选择项及比例要求</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是否绿色建材≥80%</w:t>
            </w:r>
          </w:p>
        </w:tc>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二级指标分值</w:t>
            </w:r>
          </w:p>
        </w:tc>
        <w:tc>
          <w:tcPr>
            <w:tcW w:w="1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是否不参评</w:t>
            </w: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实际得分</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snapToGrid w:val="0"/>
                <w:color w:val="auto"/>
                <w:kern w:val="0"/>
                <w:sz w:val="24"/>
                <w:szCs w:val="24"/>
                <w:u w:val="none"/>
                <w:lang w:val="en-US" w:eastAsia="zh-CN" w:bidi="ar"/>
              </w:rPr>
            </w:pPr>
            <w:r>
              <w:rPr>
                <w:rFonts w:hint="eastAsia" w:ascii="宋体" w:hAnsi="宋体" w:eastAsia="宋体" w:cs="宋体"/>
                <w:b/>
                <w:i w:val="0"/>
                <w:snapToGrid w:val="0"/>
                <w:color w:val="auto"/>
                <w:kern w:val="0"/>
                <w:sz w:val="24"/>
                <w:szCs w:val="24"/>
                <w:u w:val="none"/>
                <w:lang w:val="en-US" w:eastAsia="zh-CN" w:bidi="ar"/>
              </w:rPr>
              <w:t>计算</w:t>
            </w:r>
          </w:p>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方式</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一级指标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序号</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w:t>
            </w:r>
          </w:p>
        </w:tc>
        <w:tc>
          <w:tcPr>
            <w:tcW w:w="1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1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主体及围护结构工程用材Q1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预拌混凝土</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砖混结构及装配式混凝土结构必选,≥80%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sz w:val="24"/>
                <w:szCs w:val="24"/>
                <w:u w:val="none"/>
                <w:lang w:eastAsia="zh-CN"/>
              </w:rPr>
              <w:t>（填</w:t>
            </w:r>
            <w:r>
              <w:rPr>
                <w:rFonts w:hint="eastAsia" w:ascii="宋体" w:hAnsi="宋体" w:eastAsia="宋体" w:cs="宋体"/>
                <w:i w:val="0"/>
                <w:snapToGrid w:val="0"/>
                <w:color w:val="auto"/>
                <w:kern w:val="0"/>
                <w:sz w:val="24"/>
                <w:szCs w:val="24"/>
                <w:u w:val="none"/>
                <w:lang w:val="en-US" w:eastAsia="zh-CN" w:bidi="ar"/>
              </w:rPr>
              <w:t>写</w:t>
            </w:r>
            <w:r>
              <w:rPr>
                <w:rFonts w:hint="eastAsia" w:ascii="宋体" w:hAnsi="宋体" w:eastAsia="宋体" w:cs="宋体"/>
                <w:i w:val="0"/>
                <w:color w:val="auto"/>
                <w:sz w:val="24"/>
                <w:szCs w:val="24"/>
                <w:u w:val="none"/>
                <w:lang w:eastAsia="zh-CN"/>
              </w:rPr>
              <w:t>“是”或“否”，同列各项</w:t>
            </w:r>
            <w:r>
              <w:rPr>
                <w:rFonts w:hint="eastAsia" w:ascii="宋体" w:hAnsi="宋体" w:eastAsia="宋体" w:cs="宋体"/>
                <w:i w:val="0"/>
                <w:snapToGrid w:val="0"/>
                <w:color w:val="auto"/>
                <w:kern w:val="0"/>
                <w:sz w:val="24"/>
                <w:szCs w:val="24"/>
                <w:u w:val="none"/>
                <w:lang w:val="en-US" w:eastAsia="zh-CN" w:bidi="ar"/>
              </w:rPr>
              <w:t>填写规则相同</w:t>
            </w:r>
            <w:r>
              <w:rPr>
                <w:rFonts w:hint="eastAsia" w:ascii="宋体" w:hAnsi="宋体" w:eastAsia="宋体" w:cs="宋体"/>
                <w:i w:val="0"/>
                <w:color w:val="auto"/>
                <w:sz w:val="24"/>
                <w:szCs w:val="24"/>
                <w:u w:val="none"/>
                <w:lang w:eastAsia="zh-CN"/>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（本项参评填“-”不参评填“○”，同列各项填写规则相同）</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（填写本二级指标实际得分，同列各项填写规则相同）</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Q1共10个二级指标，小计45分，二级指标不参评项分值计入Q5。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其他土建材料包含但不限于以下材料</w:t>
            </w:r>
            <w:r>
              <w:rPr>
                <w:rStyle w:val="22"/>
                <w:rFonts w:hint="eastAsia" w:ascii="宋体" w:hAnsi="宋体" w:eastAsia="宋体" w:cs="宋体"/>
                <w:snapToGrid w:val="0"/>
                <w:color w:val="auto"/>
                <w:sz w:val="24"/>
                <w:szCs w:val="24"/>
                <w:u w:val="none"/>
                <w:lang w:val="en-US" w:eastAsia="zh-CN" w:bidi="ar"/>
              </w:rPr>
              <w:t>：轻钢龙骨、遮阳制品、集成房屋、结构修复材料、施工辅助机具及产品、厂拌沥青、固废再生材料及其制品等，</w:t>
            </w:r>
            <w:r>
              <w:rPr>
                <w:rStyle w:val="21"/>
                <w:rFonts w:hint="eastAsia" w:ascii="宋体" w:hAnsi="宋体" w:eastAsia="宋体" w:cs="宋体"/>
                <w:snapToGrid w:val="0"/>
                <w:color w:val="auto"/>
                <w:sz w:val="24"/>
                <w:szCs w:val="24"/>
                <w:u w:val="none"/>
                <w:lang w:val="en-US" w:eastAsia="zh-CN" w:bidi="ar"/>
              </w:rPr>
              <w:t>每项2分，最多得4分。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混凝土结构构件、钢结构构件、现代木结构用材</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装配式混凝土结构建筑、钢结构建筑、木结构建筑必选,≥80%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预拌砂浆</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砌体材料（含内外墙）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防水密封材料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6</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保温隔热材料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7</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节能外门窗/透光幕墙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8</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非透光幕墙、外墙板</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9</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钢筋及连接件</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其它土建材料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Q1总分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（填写Q1实际总得分）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装饰装修工程用材Q2</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吊顶</w:t>
            </w:r>
            <w:r>
              <w:rPr>
                <w:rFonts w:hint="eastAsia" w:ascii="宋体" w:hAnsi="宋体" w:cs="宋体"/>
                <w:i w:val="0"/>
                <w:snapToGrid w:val="0"/>
                <w:color w:val="auto"/>
                <w:kern w:val="0"/>
                <w:sz w:val="24"/>
                <w:szCs w:val="24"/>
                <w:u w:val="none"/>
                <w:lang w:val="en-US" w:eastAsia="zh-CN" w:bidi="ar"/>
              </w:rPr>
              <w:t>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Q2共10个二级指标，小计35分，二级指标不参评项分值计入Q5。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其他装饰材料包含但不限于以下材料</w:t>
            </w:r>
            <w:r>
              <w:rPr>
                <w:rStyle w:val="22"/>
                <w:rFonts w:hint="eastAsia" w:ascii="宋体" w:hAnsi="宋体" w:eastAsia="宋体" w:cs="宋体"/>
                <w:snapToGrid w:val="0"/>
                <w:color w:val="auto"/>
                <w:sz w:val="24"/>
                <w:szCs w:val="24"/>
                <w:u w:val="none"/>
                <w:lang w:val="en-US" w:eastAsia="zh-CN" w:bidi="ar"/>
              </w:rPr>
              <w:t>：</w:t>
            </w:r>
            <w:r>
              <w:rPr>
                <w:rStyle w:val="21"/>
                <w:rFonts w:hint="eastAsia" w:ascii="宋体" w:hAnsi="宋体" w:eastAsia="宋体" w:cs="宋体"/>
                <w:snapToGrid w:val="0"/>
                <w:color w:val="auto"/>
                <w:sz w:val="24"/>
                <w:szCs w:val="24"/>
                <w:u w:val="none"/>
                <w:lang w:val="en-US" w:eastAsia="zh-CN" w:bidi="ar"/>
              </w:rPr>
              <w:t>抗菌净化材料、装配式集成墙面、整体橱柜、环保型壁纸（布）、装修装饰用木制品、装修装饰用金属制品、装修装饰用石材、其他建筑装饰板、建筑陶瓷制品等，每项1.5分，最多得3分。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楼地面、屋面装饰材料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室内涂料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外墙装饰材料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建筑内隔墙板</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装配式建筑必选,≥80%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6</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石膏装饰材料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7</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建筑内门窗</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8</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电气照明</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9</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卫生洁具</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其它装饰材料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Q2总分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（填写Q2实际总得分）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机电安装工程用材Q3</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给排水管材管件阀门</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Q3共10个二级指标，小计</w:t>
            </w:r>
            <w:r>
              <w:rPr>
                <w:rFonts w:hint="eastAsia" w:ascii="宋体" w:hAnsi="宋体" w:eastAsia="宋体" w:cs="宋体"/>
                <w:color w:val="auto"/>
                <w:sz w:val="24"/>
                <w:szCs w:val="24"/>
                <w:u w:val="none"/>
                <w:bdr w:val="single" w:sz="4" w:space="0"/>
                <w:lang w:val="en-US" w:eastAsia="zh-CN"/>
              </w:rPr>
              <w:t>20</w:t>
            </w:r>
            <w:r>
              <w:rPr>
                <w:rFonts w:hint="eastAsia" w:ascii="宋体" w:hAnsi="宋体" w:eastAsia="宋体" w:cs="宋体"/>
                <w:i w:val="0"/>
                <w:snapToGrid w:val="0"/>
                <w:color w:val="auto"/>
                <w:kern w:val="0"/>
                <w:sz w:val="24"/>
                <w:szCs w:val="24"/>
                <w:u w:val="none"/>
                <w:lang w:val="en-US" w:eastAsia="zh-CN" w:bidi="ar"/>
              </w:rPr>
              <w:t xml:space="preserve"> 15分，二级指标不参评项分值计入Q5。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其他机电材料包含但不限于以下材料</w:t>
            </w:r>
            <w:r>
              <w:rPr>
                <w:rStyle w:val="22"/>
                <w:rFonts w:hint="eastAsia" w:ascii="宋体" w:hAnsi="宋体" w:eastAsia="宋体" w:cs="宋体"/>
                <w:snapToGrid w:val="0"/>
                <w:color w:val="auto"/>
                <w:sz w:val="24"/>
                <w:szCs w:val="24"/>
                <w:u w:val="none"/>
                <w:lang w:val="en-US" w:eastAsia="zh-CN" w:bidi="ar"/>
              </w:rPr>
              <w:t>：其他采光系统产品、光伏发电系统、控制计量系统、辐射供暖设备及系统、蓄能材料及其装置、热交换器、风管用保温管（板）等，每项1分，最多得2分。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水处理设备/二次供水设备</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高低压配电柜</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母线槽、电线电缆</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充电桩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6</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智能电梯及传输系统</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7</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冷热源设备、空调新风设备</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8</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风机盘管、保温复核风管、防火排烟风管</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9</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设备隔振降噪装置</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其他机电材料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Q3总分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（填写Q3实际总得分）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室外工程用材Q4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透水铺装材料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 xml:space="preserve"> </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Q7共3个二级指标，小计5分，二级指标不参评项分值计入Q5。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其他室外材料包含但不限于以下材料：</w:t>
            </w:r>
            <w:r>
              <w:rPr>
                <w:rStyle w:val="21"/>
                <w:rFonts w:hint="eastAsia" w:ascii="宋体" w:hAnsi="宋体" w:eastAsia="宋体" w:cs="宋体"/>
                <w:snapToGrid w:val="0"/>
                <w:color w:val="auto"/>
                <w:sz w:val="24"/>
                <w:szCs w:val="24"/>
                <w:u w:val="none"/>
                <w:lang w:val="en-US" w:eastAsia="zh-CN" w:bidi="ar"/>
              </w:rPr>
              <w:t>机械停车设备、雨水收集回用系统、建筑垃圾处置系统、园林用木竹材料、合成材料面层运动场地材料、渗管/渠、下沉式绿地材料、园林用石材等，每项</w:t>
            </w:r>
            <w:r>
              <w:rPr>
                <w:rFonts w:hint="eastAsia" w:ascii="宋体" w:hAnsi="宋体" w:eastAsia="宋体" w:cs="宋体"/>
                <w:i w:val="0"/>
                <w:snapToGrid w:val="0"/>
                <w:color w:val="auto"/>
                <w:kern w:val="0"/>
                <w:sz w:val="24"/>
                <w:szCs w:val="24"/>
                <w:u w:val="none"/>
                <w:lang w:val="en-US" w:eastAsia="zh-CN" w:bidi="ar"/>
              </w:rPr>
              <w:t>1</w:t>
            </w:r>
            <w:r>
              <w:rPr>
                <w:rStyle w:val="21"/>
                <w:rFonts w:hint="eastAsia" w:ascii="宋体" w:hAnsi="宋体" w:eastAsia="宋体" w:cs="宋体"/>
                <w:snapToGrid w:val="0"/>
                <w:color w:val="auto"/>
                <w:sz w:val="24"/>
                <w:szCs w:val="24"/>
                <w:u w:val="none"/>
                <w:lang w:val="en-US" w:eastAsia="zh-CN" w:bidi="ar"/>
              </w:rPr>
              <w:t>分，最多得</w:t>
            </w:r>
            <w:r>
              <w:rPr>
                <w:rFonts w:hint="eastAsia" w:ascii="宋体" w:hAnsi="宋体" w:eastAsia="宋体" w:cs="宋体"/>
                <w:i w:val="0"/>
                <w:snapToGrid w:val="0"/>
                <w:color w:val="auto"/>
                <w:kern w:val="0"/>
                <w:sz w:val="24"/>
                <w:szCs w:val="24"/>
                <w:u w:val="none"/>
                <w:lang w:val="en-US" w:eastAsia="zh-CN" w:bidi="ar"/>
              </w:rPr>
              <w:t>2</w:t>
            </w:r>
            <w:r>
              <w:rPr>
                <w:rStyle w:val="21"/>
                <w:rFonts w:hint="eastAsia" w:ascii="宋体" w:hAnsi="宋体" w:eastAsia="宋体" w:cs="宋体"/>
                <w:snapToGrid w:val="0"/>
                <w:color w:val="auto"/>
                <w:sz w:val="24"/>
                <w:szCs w:val="24"/>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屋面（垂直）绿化材料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其他室外材料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Q4总分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（填写Q4实际总得分）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Q5总分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不参评项总和分值</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（填写所有不参评项对应二级指标的总分值）</w:t>
            </w:r>
          </w:p>
        </w:tc>
        <w:tc>
          <w:tcPr>
            <w:tcW w:w="3692"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项目工程内不含的二级指标。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4023" w:type="dxa"/>
            <w:gridSpan w:val="3"/>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绿色建材应用比例P</w:t>
            </w:r>
          </w:p>
        </w:tc>
        <w:tc>
          <w:tcPr>
            <w:tcW w:w="198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必选项如参评应达到80%应用比例</w:t>
            </w:r>
          </w:p>
        </w:tc>
        <w:tc>
          <w:tcPr>
            <w:tcW w:w="1608" w:type="dxa"/>
            <w:gridSpan w:val="2"/>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4"/>
                <w:szCs w:val="24"/>
                <w:u w:val="none"/>
              </w:rPr>
            </w:pPr>
          </w:p>
        </w:tc>
        <w:tc>
          <w:tcPr>
            <w:tcW w:w="2812" w:type="dxa"/>
            <w:gridSpan w:val="2"/>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（填写最终比例计算结果）</w:t>
            </w:r>
          </w:p>
        </w:tc>
        <w:tc>
          <w:tcPr>
            <w:tcW w:w="3692" w:type="dxa"/>
            <w:gridSpan w:val="2"/>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计算方法：P=(Q1+Q2+Q3+Q4)/（100-Q5）*100%</w:t>
            </w:r>
          </w:p>
        </w:tc>
      </w:tr>
    </w:tbl>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注：</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1 按《福州市绿色建材应用比例计算技术细则》表 3.2 的要求，分别计算4类核算指标绿色建材应用比例计算分值；</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2 当某项目为多栋建筑构成，按栋的编号分别列出；</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rPr>
      </w:pPr>
      <w:r>
        <w:rPr>
          <w:rFonts w:hint="eastAsia" w:ascii="宋体" w:hAnsi="宋体" w:eastAsia="宋体" w:cs="宋体"/>
          <w:color w:val="auto"/>
          <w:lang w:eastAsia="zh-CN"/>
        </w:rPr>
        <w:t>3 如有项目工程内不含的二级指标，于是否不参评中画○，并于Q5总分中统计出不参评项总和分值；</w:t>
      </w:r>
    </w:p>
    <w:p>
      <w:pPr>
        <w:keepNext w:val="0"/>
        <w:keepLines w:val="0"/>
        <w:pageBreakBefore w:val="0"/>
        <w:kinsoku/>
        <w:wordWrap/>
        <w:overflowPunct/>
        <w:topLinePunct w:val="0"/>
        <w:autoSpaceDE w:val="0"/>
        <w:autoSpaceDN w:val="0"/>
        <w:bidi w:val="0"/>
        <w:spacing w:before="121" w:line="220" w:lineRule="auto"/>
        <w:ind w:left="0"/>
        <w:jc w:val="both"/>
        <w:rPr>
          <w:rFonts w:hint="eastAsia" w:ascii="宋体" w:hAnsi="宋体" w:eastAsia="宋体" w:cs="宋体"/>
          <w:b/>
          <w:bCs/>
          <w:color w:val="auto"/>
          <w:spacing w:val="-9"/>
          <w:sz w:val="24"/>
          <w:szCs w:val="24"/>
          <w:lang w:eastAsia="zh-CN"/>
        </w:rPr>
        <w:sectPr>
          <w:footerReference r:id="rId7" w:type="default"/>
          <w:pgSz w:w="16839" w:h="11907" w:orient="landscape"/>
          <w:pgMar w:top="1785" w:right="1431" w:bottom="1785" w:left="1284" w:header="0" w:footer="1106" w:gutter="0"/>
          <w:pgNumType w:fmt="decimal"/>
          <w:cols w:space="720" w:num="1"/>
        </w:sectPr>
      </w:pPr>
    </w:p>
    <w:p>
      <w:pPr>
        <w:keepNext w:val="0"/>
        <w:keepLines w:val="0"/>
        <w:pageBreakBefore w:val="0"/>
        <w:kinsoku/>
        <w:wordWrap/>
        <w:overflowPunct/>
        <w:topLinePunct w:val="0"/>
        <w:autoSpaceDE w:val="0"/>
        <w:autoSpaceDN w:val="0"/>
        <w:bidi w:val="0"/>
        <w:spacing w:before="121" w:line="220" w:lineRule="auto"/>
        <w:ind w:left="0"/>
        <w:jc w:val="both"/>
        <w:rPr>
          <w:rFonts w:hint="eastAsia" w:ascii="宋体" w:hAnsi="宋体" w:eastAsia="宋体" w:cs="宋体"/>
          <w:b/>
          <w:bCs/>
          <w:color w:val="auto"/>
          <w:spacing w:val="-9"/>
          <w:sz w:val="32"/>
          <w:szCs w:val="32"/>
          <w:lang w:eastAsia="zh-CN"/>
        </w:rPr>
      </w:pPr>
      <w:r>
        <w:rPr>
          <w:rFonts w:hint="eastAsia" w:ascii="宋体" w:hAnsi="宋体" w:eastAsia="宋体" w:cs="宋体"/>
          <w:b/>
          <w:bCs/>
          <w:color w:val="auto"/>
          <w:spacing w:val="-9"/>
          <w:sz w:val="32"/>
          <w:szCs w:val="32"/>
          <w:lang w:eastAsia="zh-CN"/>
        </w:rPr>
        <w:t>附录</w:t>
      </w:r>
      <w:r>
        <w:rPr>
          <w:rFonts w:hint="eastAsia" w:ascii="宋体" w:hAnsi="宋体" w:eastAsia="宋体" w:cs="宋体"/>
          <w:b/>
          <w:bCs/>
          <w:color w:val="auto"/>
          <w:spacing w:val="-9"/>
          <w:sz w:val="32"/>
          <w:szCs w:val="32"/>
          <w:lang w:val="en-US" w:eastAsia="zh-CN"/>
        </w:rPr>
        <w:t xml:space="preserve"> B</w:t>
      </w:r>
    </w:p>
    <w:p>
      <w:pPr>
        <w:pStyle w:val="10"/>
        <w:keepNext w:val="0"/>
        <w:keepLines w:val="0"/>
        <w:pageBreakBefore w:val="0"/>
        <w:kinsoku/>
        <w:wordWrap/>
        <w:overflowPunct/>
        <w:topLinePunct w:val="0"/>
        <w:autoSpaceDE w:val="0"/>
        <w:autoSpaceDN w:val="0"/>
        <w:bidi w:val="0"/>
        <w:spacing w:line="262"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63" w:lineRule="auto"/>
        <w:jc w:val="both"/>
        <w:rPr>
          <w:rFonts w:hint="eastAsia" w:ascii="宋体" w:hAnsi="宋体" w:eastAsia="宋体" w:cs="宋体"/>
          <w:color w:val="auto"/>
          <w:lang w:eastAsia="zh-CN"/>
        </w:rPr>
      </w:pPr>
    </w:p>
    <w:p>
      <w:pPr>
        <w:keepNext w:val="0"/>
        <w:keepLines w:val="0"/>
        <w:pageBreakBefore w:val="0"/>
        <w:kinsoku/>
        <w:wordWrap/>
        <w:overflowPunct/>
        <w:topLinePunct w:val="0"/>
        <w:autoSpaceDE w:val="0"/>
        <w:autoSpaceDN w:val="0"/>
        <w:bidi w:val="0"/>
        <w:spacing w:before="103" w:line="183" w:lineRule="auto"/>
        <w:ind w:left="6164"/>
        <w:jc w:val="both"/>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报告编号：</w:t>
      </w:r>
    </w:p>
    <w:p>
      <w:pPr>
        <w:pStyle w:val="10"/>
        <w:keepNext w:val="0"/>
        <w:keepLines w:val="0"/>
        <w:pageBreakBefore w:val="0"/>
        <w:kinsoku/>
        <w:wordWrap/>
        <w:overflowPunct/>
        <w:topLinePunct w:val="0"/>
        <w:autoSpaceDE w:val="0"/>
        <w:autoSpaceDN w:val="0"/>
        <w:bidi w:val="0"/>
        <w:spacing w:line="259"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59"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59" w:lineRule="auto"/>
        <w:jc w:val="both"/>
        <w:rPr>
          <w:rFonts w:hint="eastAsia" w:ascii="宋体" w:hAnsi="宋体" w:eastAsia="宋体" w:cs="宋体"/>
          <w:color w:val="auto"/>
          <w:lang w:eastAsia="zh-CN"/>
        </w:rPr>
      </w:pPr>
    </w:p>
    <w:p>
      <w:pPr>
        <w:keepNext w:val="0"/>
        <w:keepLines w:val="0"/>
        <w:pageBreakBefore w:val="0"/>
        <w:kinsoku/>
        <w:wordWrap/>
        <w:overflowPunct/>
        <w:topLinePunct w:val="0"/>
        <w:autoSpaceDE w:val="0"/>
        <w:autoSpaceDN w:val="0"/>
        <w:bidi w:val="0"/>
        <w:spacing w:before="101" w:line="225" w:lineRule="auto"/>
        <w:jc w:val="center"/>
        <w:outlineLvl w:val="0"/>
        <w:rPr>
          <w:rFonts w:hint="eastAsia" w:ascii="宋体" w:hAnsi="宋体" w:eastAsia="宋体" w:cs="宋体"/>
          <w:color w:val="auto"/>
          <w:spacing w:val="7"/>
          <w:sz w:val="44"/>
          <w:szCs w:val="44"/>
          <w:lang w:eastAsia="zh-CN"/>
        </w:rPr>
      </w:pPr>
      <w:r>
        <w:rPr>
          <w:rFonts w:hint="eastAsia" w:ascii="宋体" w:hAnsi="宋体" w:eastAsia="宋体" w:cs="宋体"/>
          <w:color w:val="auto"/>
          <w:spacing w:val="7"/>
          <w:sz w:val="44"/>
          <w:szCs w:val="44"/>
          <w:lang w:eastAsia="zh-CN"/>
        </w:rPr>
        <w:t>绿色建材应用比例计算报告</w:t>
      </w:r>
    </w:p>
    <w:p>
      <w:pPr>
        <w:keepNext w:val="0"/>
        <w:keepLines w:val="0"/>
        <w:pageBreakBefore w:val="0"/>
        <w:kinsoku/>
        <w:wordWrap/>
        <w:overflowPunct/>
        <w:topLinePunct w:val="0"/>
        <w:autoSpaceDE w:val="0"/>
        <w:autoSpaceDN w:val="0"/>
        <w:bidi w:val="0"/>
        <w:spacing w:before="101" w:line="225" w:lineRule="auto"/>
        <w:jc w:val="both"/>
        <w:outlineLvl w:val="0"/>
        <w:rPr>
          <w:rFonts w:hint="eastAsia" w:ascii="宋体" w:hAnsi="宋体" w:eastAsia="宋体" w:cs="宋体"/>
          <w:color w:val="auto"/>
          <w:spacing w:val="7"/>
          <w:sz w:val="44"/>
          <w:szCs w:val="44"/>
          <w:lang w:eastAsia="zh-CN"/>
        </w:rPr>
      </w:pPr>
    </w:p>
    <w:p>
      <w:pPr>
        <w:pStyle w:val="10"/>
        <w:keepNext w:val="0"/>
        <w:keepLines w:val="0"/>
        <w:pageBreakBefore w:val="0"/>
        <w:kinsoku/>
        <w:wordWrap/>
        <w:overflowPunct/>
        <w:topLinePunct w:val="0"/>
        <w:autoSpaceDE w:val="0"/>
        <w:autoSpaceDN w:val="0"/>
        <w:bidi w:val="0"/>
        <w:spacing w:line="242"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2"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pStyle w:val="10"/>
        <w:keepNext w:val="0"/>
        <w:keepLines w:val="0"/>
        <w:pageBreakBefore w:val="0"/>
        <w:kinsoku/>
        <w:wordWrap/>
        <w:overflowPunct/>
        <w:topLinePunct w:val="0"/>
        <w:autoSpaceDE w:val="0"/>
        <w:autoSpaceDN w:val="0"/>
        <w:bidi w:val="0"/>
        <w:spacing w:line="243" w:lineRule="auto"/>
        <w:jc w:val="both"/>
        <w:rPr>
          <w:rFonts w:hint="eastAsia" w:ascii="宋体" w:hAnsi="宋体" w:eastAsia="宋体" w:cs="宋体"/>
          <w:color w:val="auto"/>
          <w:lang w:eastAsia="zh-CN"/>
        </w:rPr>
      </w:pPr>
    </w:p>
    <w:p>
      <w:pPr>
        <w:keepNext w:val="0"/>
        <w:keepLines w:val="0"/>
        <w:pageBreakBefore w:val="0"/>
        <w:tabs>
          <w:tab w:val="left" w:pos="8012"/>
          <w:tab w:val="left" w:pos="8174"/>
        </w:tabs>
        <w:kinsoku/>
        <w:wordWrap/>
        <w:overflowPunct/>
        <w:topLinePunct w:val="0"/>
        <w:autoSpaceDE w:val="0"/>
        <w:autoSpaceDN w:val="0"/>
        <w:bidi w:val="0"/>
        <w:spacing w:before="101" w:line="500" w:lineRule="auto"/>
        <w:ind w:left="0" w:leftChars="0" w:right="160" w:firstLine="0" w:firstLineChars="0"/>
        <w:jc w:val="both"/>
        <w:rPr>
          <w:rFonts w:hint="eastAsia" w:ascii="宋体" w:hAnsi="宋体" w:eastAsia="宋体" w:cs="宋体"/>
          <w:color w:val="auto"/>
          <w:sz w:val="30"/>
          <w:szCs w:val="30"/>
          <w:lang w:eastAsia="zh-CN"/>
        </w:rPr>
      </w:pPr>
      <w:r>
        <w:rPr>
          <w:rFonts w:hint="eastAsia" w:ascii="宋体" w:hAnsi="宋体" w:eastAsia="宋体" w:cs="宋体"/>
          <w:color w:val="auto"/>
          <w:spacing w:val="6"/>
          <w:sz w:val="30"/>
          <w:szCs w:val="30"/>
          <w:lang w:eastAsia="zh-CN"/>
        </w:rPr>
        <w:t>项目名称：</w:t>
      </w:r>
      <w:r>
        <w:rPr>
          <w:rFonts w:hint="eastAsia" w:ascii="宋体" w:hAnsi="宋体" w:eastAsia="宋体" w:cs="宋体"/>
          <w:color w:val="auto"/>
          <w:sz w:val="30"/>
          <w:szCs w:val="30"/>
          <w:u w:val="single"/>
          <w:lang w:eastAsia="zh-CN"/>
        </w:rPr>
        <w:tab/>
      </w:r>
      <w:r>
        <w:rPr>
          <w:rFonts w:hint="eastAsia" w:ascii="宋体" w:hAnsi="宋体" w:eastAsia="宋体" w:cs="宋体"/>
          <w:color w:val="auto"/>
          <w:sz w:val="30"/>
          <w:szCs w:val="30"/>
          <w:lang w:eastAsia="zh-CN"/>
        </w:rPr>
        <w:t xml:space="preserve">  </w:t>
      </w:r>
      <w:r>
        <w:rPr>
          <w:rFonts w:hint="eastAsia" w:ascii="宋体" w:hAnsi="宋体" w:eastAsia="宋体" w:cs="宋体"/>
          <w:color w:val="auto"/>
          <w:spacing w:val="6"/>
          <w:sz w:val="30"/>
          <w:szCs w:val="30"/>
          <w:lang w:eastAsia="zh-CN"/>
        </w:rPr>
        <w:t>建设单位：</w:t>
      </w:r>
      <w:r>
        <w:rPr>
          <w:rFonts w:hint="eastAsia" w:ascii="宋体" w:hAnsi="宋体" w:eastAsia="宋体" w:cs="宋体"/>
          <w:color w:val="auto"/>
          <w:sz w:val="30"/>
          <w:szCs w:val="30"/>
          <w:u w:val="single"/>
          <w:lang w:eastAsia="zh-CN"/>
        </w:rPr>
        <w:tab/>
      </w:r>
      <w:r>
        <w:rPr>
          <w:rFonts w:hint="eastAsia" w:ascii="宋体" w:hAnsi="宋体" w:eastAsia="宋体" w:cs="宋体"/>
          <w:color w:val="auto"/>
          <w:sz w:val="30"/>
          <w:szCs w:val="30"/>
          <w:lang w:eastAsia="zh-CN"/>
        </w:rPr>
        <w:t xml:space="preserve">  </w:t>
      </w:r>
      <w:r>
        <w:rPr>
          <w:rFonts w:hint="eastAsia" w:ascii="宋体" w:hAnsi="宋体" w:eastAsia="宋体" w:cs="宋体"/>
          <w:color w:val="auto"/>
          <w:spacing w:val="6"/>
          <w:sz w:val="30"/>
          <w:szCs w:val="30"/>
          <w:lang w:eastAsia="zh-CN"/>
        </w:rPr>
        <w:t>核算单位：</w:t>
      </w:r>
      <w:r>
        <w:rPr>
          <w:rFonts w:hint="eastAsia" w:ascii="宋体" w:hAnsi="宋体" w:eastAsia="宋体" w:cs="宋体"/>
          <w:color w:val="auto"/>
          <w:sz w:val="30"/>
          <w:szCs w:val="30"/>
          <w:u w:val="single"/>
          <w:lang w:eastAsia="zh-CN"/>
        </w:rPr>
        <w:tab/>
      </w:r>
      <w:r>
        <w:rPr>
          <w:rFonts w:hint="eastAsia" w:ascii="宋体" w:hAnsi="宋体" w:eastAsia="宋体" w:cs="宋体"/>
          <w:color w:val="auto"/>
          <w:sz w:val="30"/>
          <w:szCs w:val="30"/>
          <w:lang w:eastAsia="zh-CN"/>
        </w:rPr>
        <w:t xml:space="preserve">  </w:t>
      </w:r>
    </w:p>
    <w:p>
      <w:pPr>
        <w:keepNext w:val="0"/>
        <w:keepLines w:val="0"/>
        <w:pageBreakBefore w:val="0"/>
        <w:tabs>
          <w:tab w:val="left" w:pos="8012"/>
          <w:tab w:val="left" w:pos="8174"/>
        </w:tabs>
        <w:kinsoku/>
        <w:wordWrap/>
        <w:overflowPunct/>
        <w:topLinePunct w:val="0"/>
        <w:autoSpaceDE w:val="0"/>
        <w:autoSpaceDN w:val="0"/>
        <w:bidi w:val="0"/>
        <w:spacing w:before="101" w:line="500" w:lineRule="auto"/>
        <w:ind w:left="0" w:leftChars="0" w:right="160" w:firstLine="0" w:firstLineChars="0"/>
        <w:jc w:val="both"/>
        <w:rPr>
          <w:rFonts w:hint="eastAsia" w:ascii="宋体" w:hAnsi="宋体" w:eastAsia="宋体" w:cs="宋体"/>
          <w:color w:val="auto"/>
          <w:sz w:val="30"/>
          <w:szCs w:val="30"/>
          <w:lang w:eastAsia="zh-CN"/>
        </w:rPr>
      </w:pPr>
      <w:r>
        <w:rPr>
          <w:rFonts w:hint="eastAsia" w:ascii="宋体" w:hAnsi="宋体" w:eastAsia="宋体" w:cs="宋体"/>
          <w:color w:val="auto"/>
          <w:spacing w:val="7"/>
          <w:sz w:val="30"/>
          <w:szCs w:val="30"/>
          <w:lang w:eastAsia="zh-CN"/>
        </w:rPr>
        <w:t>编制日期：</w:t>
      </w:r>
      <w:r>
        <w:rPr>
          <w:rFonts w:hint="eastAsia" w:ascii="宋体" w:hAnsi="宋体" w:eastAsia="宋体" w:cs="宋体"/>
          <w:color w:val="auto"/>
          <w:sz w:val="30"/>
          <w:szCs w:val="30"/>
          <w:u w:val="single"/>
          <w:lang w:eastAsia="zh-CN"/>
        </w:rPr>
        <w:tab/>
      </w:r>
      <w:r>
        <w:rPr>
          <w:rFonts w:hint="eastAsia" w:ascii="宋体" w:hAnsi="宋体" w:eastAsia="宋体" w:cs="宋体"/>
          <w:color w:val="auto"/>
          <w:sz w:val="30"/>
          <w:szCs w:val="30"/>
          <w:lang w:eastAsia="zh-CN"/>
        </w:rPr>
        <w:t xml:space="preserve">  </w:t>
      </w:r>
    </w:p>
    <w:p>
      <w:pPr>
        <w:keepNext w:val="0"/>
        <w:keepLines w:val="0"/>
        <w:pageBreakBefore w:val="0"/>
        <w:kinsoku/>
        <w:wordWrap/>
        <w:overflowPunct/>
        <w:topLinePunct w:val="0"/>
        <w:autoSpaceDE w:val="0"/>
        <w:autoSpaceDN w:val="0"/>
        <w:bidi w:val="0"/>
        <w:spacing w:before="1" w:line="225" w:lineRule="auto"/>
        <w:ind w:left="0" w:leftChars="0" w:firstLine="0" w:firstLineChars="0"/>
        <w:jc w:val="both"/>
        <w:rPr>
          <w:rFonts w:hint="eastAsia" w:ascii="宋体" w:hAnsi="宋体" w:eastAsia="宋体" w:cs="宋体"/>
          <w:color w:val="auto"/>
          <w:sz w:val="30"/>
          <w:szCs w:val="30"/>
          <w:lang w:eastAsia="zh-CN"/>
        </w:rPr>
      </w:pPr>
    </w:p>
    <w:p>
      <w:pPr>
        <w:pStyle w:val="2"/>
        <w:rPr>
          <w:rFonts w:hint="eastAsia"/>
          <w:color w:val="auto"/>
          <w:lang w:eastAsia="zh-CN"/>
        </w:rPr>
      </w:pPr>
    </w:p>
    <w:p>
      <w:pPr>
        <w:keepNext w:val="0"/>
        <w:keepLines w:val="0"/>
        <w:pageBreakBefore w:val="0"/>
        <w:kinsoku/>
        <w:wordWrap/>
        <w:overflowPunct/>
        <w:topLinePunct w:val="0"/>
        <w:autoSpaceDE w:val="0"/>
        <w:autoSpaceDN w:val="0"/>
        <w:bidi w:val="0"/>
        <w:spacing w:line="225" w:lineRule="auto"/>
        <w:jc w:val="both"/>
        <w:rPr>
          <w:rFonts w:hint="eastAsia" w:ascii="宋体" w:hAnsi="宋体" w:eastAsia="宋体" w:cs="宋体"/>
          <w:color w:val="auto"/>
          <w:sz w:val="30"/>
          <w:szCs w:val="30"/>
          <w:lang w:eastAsia="zh-CN"/>
        </w:rPr>
        <w:sectPr>
          <w:pgSz w:w="11907" w:h="16839"/>
          <w:pgMar w:top="1431" w:right="1785" w:bottom="1284" w:left="1785" w:header="0" w:footer="1106" w:gutter="0"/>
          <w:pgNumType w:fmt="decimal"/>
          <w:cols w:space="720" w:num="1"/>
        </w:sectPr>
      </w:pPr>
    </w:p>
    <w:p>
      <w:pPr>
        <w:keepNext w:val="0"/>
        <w:keepLines w:val="0"/>
        <w:pageBreakBefore w:val="0"/>
        <w:kinsoku/>
        <w:wordWrap/>
        <w:overflowPunct/>
        <w:topLinePunct w:val="0"/>
        <w:autoSpaceDE w:val="0"/>
        <w:autoSpaceDN w:val="0"/>
        <w:bidi w:val="0"/>
        <w:spacing w:before="158" w:line="229" w:lineRule="auto"/>
        <w:ind w:left="130"/>
        <w:jc w:val="both"/>
        <w:rPr>
          <w:rFonts w:hint="eastAsia" w:ascii="宋体" w:hAnsi="宋体" w:eastAsia="宋体" w:cs="宋体"/>
          <w:color w:val="auto"/>
          <w:sz w:val="31"/>
          <w:szCs w:val="31"/>
          <w:lang w:eastAsia="zh-CN"/>
        </w:rPr>
      </w:pPr>
      <w:r>
        <w:rPr>
          <w:rFonts w:hint="eastAsia" w:ascii="宋体" w:hAnsi="宋体" w:eastAsia="宋体" w:cs="宋体"/>
          <w:color w:val="auto"/>
          <w:spacing w:val="7"/>
          <w:sz w:val="31"/>
          <w:szCs w:val="31"/>
          <w:lang w:eastAsia="zh-CN"/>
        </w:rPr>
        <w:t>一、基本信息表</w:t>
      </w:r>
    </w:p>
    <w:p>
      <w:pPr>
        <w:keepNext w:val="0"/>
        <w:keepLines w:val="0"/>
        <w:pageBreakBefore w:val="0"/>
        <w:kinsoku/>
        <w:wordWrap/>
        <w:overflowPunct/>
        <w:topLinePunct w:val="0"/>
        <w:autoSpaceDE w:val="0"/>
        <w:autoSpaceDN w:val="0"/>
        <w:bidi w:val="0"/>
        <w:spacing w:before="4"/>
        <w:jc w:val="both"/>
        <w:rPr>
          <w:rFonts w:hint="eastAsia" w:ascii="宋体" w:hAnsi="宋体" w:eastAsia="宋体" w:cs="宋体"/>
          <w:color w:val="auto"/>
          <w:lang w:eastAsia="zh-CN"/>
        </w:rPr>
      </w:pPr>
    </w:p>
    <w:tbl>
      <w:tblPr>
        <w:tblStyle w:val="16"/>
        <w:tblW w:w="8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67"/>
        <w:gridCol w:w="1811"/>
        <w:gridCol w:w="2045"/>
        <w:gridCol w:w="2"/>
        <w:gridCol w:w="19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2567" w:type="dxa"/>
          </w:tcPr>
          <w:p>
            <w:pPr>
              <w:keepNext w:val="0"/>
              <w:keepLines w:val="0"/>
              <w:pageBreakBefore w:val="0"/>
              <w:kinsoku/>
              <w:wordWrap/>
              <w:overflowPunct/>
              <w:topLinePunct w:val="0"/>
              <w:autoSpaceDE w:val="0"/>
              <w:autoSpaceDN w:val="0"/>
              <w:bidi w:val="0"/>
              <w:spacing w:before="196" w:line="221" w:lineRule="auto"/>
              <w:ind w:left="805"/>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项目名称</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567" w:type="dxa"/>
          </w:tcPr>
          <w:p>
            <w:pPr>
              <w:keepNext w:val="0"/>
              <w:keepLines w:val="0"/>
              <w:pageBreakBefore w:val="0"/>
              <w:kinsoku/>
              <w:wordWrap/>
              <w:overflowPunct/>
              <w:topLinePunct w:val="0"/>
              <w:autoSpaceDE w:val="0"/>
              <w:autoSpaceDN w:val="0"/>
              <w:bidi w:val="0"/>
              <w:spacing w:before="192" w:line="221" w:lineRule="auto"/>
              <w:ind w:left="805"/>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项目地址</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2567" w:type="dxa"/>
          </w:tcPr>
          <w:p>
            <w:pPr>
              <w:keepNext w:val="0"/>
              <w:keepLines w:val="0"/>
              <w:pageBreakBefore w:val="0"/>
              <w:kinsoku/>
              <w:wordWrap/>
              <w:overflowPunct/>
              <w:topLinePunct w:val="0"/>
              <w:autoSpaceDE w:val="0"/>
              <w:autoSpaceDN w:val="0"/>
              <w:bidi w:val="0"/>
              <w:spacing w:before="193" w:line="220"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工程类别</w:t>
            </w:r>
          </w:p>
        </w:tc>
        <w:tc>
          <w:tcPr>
            <w:tcW w:w="5792" w:type="dxa"/>
            <w:gridSpan w:val="4"/>
          </w:tcPr>
          <w:p>
            <w:pPr>
              <w:keepNext w:val="0"/>
              <w:keepLines w:val="0"/>
              <w:pageBreakBefore w:val="0"/>
              <w:kinsoku/>
              <w:wordWrap/>
              <w:overflowPunct/>
              <w:topLinePunct w:val="0"/>
              <w:autoSpaceDE w:val="0"/>
              <w:autoSpaceDN w:val="0"/>
              <w:bidi w:val="0"/>
              <w:spacing w:before="183"/>
              <w:ind w:firstLine="224" w:firstLineChars="100"/>
              <w:jc w:val="both"/>
              <w:rPr>
                <w:rFonts w:hint="eastAsia" w:ascii="宋体" w:hAnsi="宋体" w:eastAsia="宋体" w:cs="宋体"/>
                <w:color w:val="auto"/>
                <w:sz w:val="24"/>
                <w:szCs w:val="24"/>
              </w:rPr>
            </w:pPr>
            <w:r>
              <w:rPr>
                <w:rFonts w:hint="eastAsia" w:ascii="宋体" w:hAnsi="宋体" w:eastAsia="宋体" w:cs="宋体"/>
                <w:color w:val="auto"/>
                <w:spacing w:val="-8"/>
                <w:sz w:val="24"/>
                <w:szCs w:val="24"/>
                <w:lang w:eastAsia="zh-CN"/>
              </w:rPr>
              <w:t>□</w:t>
            </w:r>
            <w:r>
              <w:rPr>
                <w:rFonts w:hint="eastAsia" w:ascii="宋体" w:hAnsi="宋体" w:eastAsia="宋体" w:cs="宋体"/>
                <w:color w:val="auto"/>
                <w:spacing w:val="-8"/>
                <w:sz w:val="24"/>
                <w:szCs w:val="24"/>
              </w:rPr>
              <w:t>居住建筑</w:t>
            </w:r>
            <w:r>
              <w:rPr>
                <w:rFonts w:hint="eastAsia" w:ascii="宋体" w:hAnsi="宋体" w:eastAsia="宋体" w:cs="宋体"/>
                <w:color w:val="auto"/>
                <w:spacing w:val="25"/>
                <w:sz w:val="24"/>
                <w:szCs w:val="24"/>
              </w:rPr>
              <w:t xml:space="preserve"> </w:t>
            </w:r>
            <w:r>
              <w:rPr>
                <w:rFonts w:hint="eastAsia" w:ascii="宋体" w:hAnsi="宋体" w:eastAsia="宋体" w:cs="宋体"/>
                <w:b/>
                <w:bCs/>
                <w:color w:val="auto"/>
                <w:spacing w:val="-8"/>
                <w:sz w:val="24"/>
                <w:szCs w:val="24"/>
              </w:rPr>
              <w:t></w:t>
            </w:r>
            <w:r>
              <w:rPr>
                <w:rFonts w:hint="eastAsia" w:ascii="宋体" w:hAnsi="宋体" w:eastAsia="宋体" w:cs="宋体"/>
                <w:color w:val="auto"/>
                <w:spacing w:val="26"/>
                <w:sz w:val="24"/>
                <w:szCs w:val="24"/>
              </w:rPr>
              <w:t xml:space="preserve">      </w:t>
            </w:r>
            <w:r>
              <w:rPr>
                <w:rFonts w:hint="eastAsia" w:ascii="宋体" w:hAnsi="宋体" w:eastAsia="宋体" w:cs="宋体"/>
                <w:color w:val="auto"/>
                <w:spacing w:val="-8"/>
                <w:sz w:val="24"/>
                <w:szCs w:val="24"/>
                <w:lang w:eastAsia="zh-CN"/>
              </w:rPr>
              <w:t>□</w:t>
            </w:r>
            <w:r>
              <w:rPr>
                <w:rFonts w:hint="eastAsia" w:ascii="宋体" w:hAnsi="宋体" w:eastAsia="宋体" w:cs="宋体"/>
                <w:color w:val="auto"/>
                <w:spacing w:val="-8"/>
                <w:sz w:val="24"/>
                <w:szCs w:val="24"/>
              </w:rPr>
              <w:t>公共建筑</w:t>
            </w:r>
            <w:r>
              <w:rPr>
                <w:rFonts w:hint="eastAsia" w:ascii="宋体" w:hAnsi="宋体" w:eastAsia="宋体" w:cs="宋体"/>
                <w:color w:val="auto"/>
                <w:spacing w:val="21"/>
                <w:sz w:val="24"/>
                <w:szCs w:val="24"/>
              </w:rPr>
              <w:t xml:space="preserve"> </w:t>
            </w:r>
            <w:r>
              <w:rPr>
                <w:rFonts w:hint="eastAsia" w:ascii="宋体" w:hAnsi="宋体" w:eastAsia="宋体" w:cs="宋体"/>
                <w:b/>
                <w:bCs/>
                <w:color w:val="auto"/>
                <w:spacing w:val="-8"/>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2567" w:type="dxa"/>
          </w:tcPr>
          <w:p>
            <w:pPr>
              <w:keepNext w:val="0"/>
              <w:keepLines w:val="0"/>
              <w:pageBreakBefore w:val="0"/>
              <w:kinsoku/>
              <w:wordWrap/>
              <w:overflowPunct/>
              <w:topLinePunct w:val="0"/>
              <w:autoSpaceDE w:val="0"/>
              <w:autoSpaceDN w:val="0"/>
              <w:bidi w:val="0"/>
              <w:spacing w:before="196" w:line="220" w:lineRule="auto"/>
              <w:ind w:left="806"/>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结构类型</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2567" w:type="dxa"/>
          </w:tcPr>
          <w:p>
            <w:pPr>
              <w:keepNext w:val="0"/>
              <w:keepLines w:val="0"/>
              <w:pageBreakBefore w:val="0"/>
              <w:kinsoku/>
              <w:wordWrap/>
              <w:overflowPunct/>
              <w:topLinePunct w:val="0"/>
              <w:autoSpaceDE w:val="0"/>
              <w:autoSpaceDN w:val="0"/>
              <w:bidi w:val="0"/>
              <w:spacing w:before="196" w:line="220" w:lineRule="auto"/>
              <w:ind w:left="806"/>
              <w:jc w:val="both"/>
              <w:rPr>
                <w:rFonts w:hint="eastAsia" w:ascii="宋体" w:hAnsi="宋体" w:eastAsia="宋体" w:cs="宋体"/>
                <w:color w:val="auto"/>
                <w:spacing w:val="-3"/>
                <w:sz w:val="24"/>
                <w:szCs w:val="24"/>
                <w:lang w:eastAsia="zh-CN"/>
              </w:rPr>
            </w:pPr>
            <w:r>
              <w:rPr>
                <w:rFonts w:hint="eastAsia" w:ascii="宋体" w:hAnsi="宋体" w:eastAsia="宋体" w:cs="宋体"/>
                <w:color w:val="auto"/>
                <w:spacing w:val="-3"/>
                <w:sz w:val="24"/>
                <w:szCs w:val="24"/>
                <w:lang w:val="en-US" w:eastAsia="zh-CN"/>
              </w:rPr>
              <w:t>绿色建筑星级</w:t>
            </w:r>
          </w:p>
        </w:tc>
        <w:tc>
          <w:tcPr>
            <w:tcW w:w="1811"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snapToGrid w:val="0"/>
                <w:color w:val="auto"/>
                <w:spacing w:val="-3"/>
                <w:sz w:val="24"/>
                <w:szCs w:val="24"/>
                <w:lang w:val="en-US" w:eastAsia="en-US" w:bidi="ar-SA"/>
              </w:rPr>
            </w:pPr>
          </w:p>
        </w:tc>
        <w:tc>
          <w:tcPr>
            <w:tcW w:w="2047" w:type="dxa"/>
            <w:gridSpan w:val="2"/>
            <w:vAlign w:val="center"/>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snapToGrid w:val="0"/>
                <w:color w:val="auto"/>
                <w:spacing w:val="-3"/>
                <w:sz w:val="24"/>
                <w:szCs w:val="24"/>
                <w:lang w:val="en-US" w:eastAsia="zh-CN" w:bidi="ar-SA"/>
              </w:rPr>
            </w:pPr>
            <w:r>
              <w:rPr>
                <w:rFonts w:hint="eastAsia" w:ascii="宋体" w:hAnsi="宋体" w:eastAsia="宋体" w:cs="宋体"/>
                <w:snapToGrid w:val="0"/>
                <w:color w:val="auto"/>
                <w:spacing w:val="-3"/>
                <w:sz w:val="24"/>
                <w:szCs w:val="24"/>
                <w:lang w:val="en-US" w:eastAsia="zh-CN" w:bidi="ar-SA"/>
              </w:rPr>
              <w:t>绿色建材应用比例</w:t>
            </w:r>
          </w:p>
        </w:tc>
        <w:tc>
          <w:tcPr>
            <w:tcW w:w="1934"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567" w:type="dxa"/>
          </w:tcPr>
          <w:p>
            <w:pPr>
              <w:keepNext w:val="0"/>
              <w:keepLines w:val="0"/>
              <w:pageBreakBefore w:val="0"/>
              <w:kinsoku/>
              <w:wordWrap/>
              <w:overflowPunct/>
              <w:topLinePunct w:val="0"/>
              <w:autoSpaceDE w:val="0"/>
              <w:autoSpaceDN w:val="0"/>
              <w:bidi w:val="0"/>
              <w:spacing w:before="193" w:line="221"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建设单位</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2567" w:type="dxa"/>
          </w:tcPr>
          <w:p>
            <w:pPr>
              <w:keepNext w:val="0"/>
              <w:keepLines w:val="0"/>
              <w:pageBreakBefore w:val="0"/>
              <w:kinsoku/>
              <w:wordWrap/>
              <w:overflowPunct/>
              <w:topLinePunct w:val="0"/>
              <w:autoSpaceDE w:val="0"/>
              <w:autoSpaceDN w:val="0"/>
              <w:bidi w:val="0"/>
              <w:spacing w:before="194" w:line="222" w:lineRule="auto"/>
              <w:ind w:left="922"/>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联系人</w:t>
            </w:r>
          </w:p>
        </w:tc>
        <w:tc>
          <w:tcPr>
            <w:tcW w:w="1811"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c>
          <w:tcPr>
            <w:tcW w:w="2045" w:type="dxa"/>
          </w:tcPr>
          <w:p>
            <w:pPr>
              <w:keepNext w:val="0"/>
              <w:keepLines w:val="0"/>
              <w:pageBreakBefore w:val="0"/>
              <w:kinsoku/>
              <w:wordWrap/>
              <w:overflowPunct/>
              <w:topLinePunct w:val="0"/>
              <w:autoSpaceDE w:val="0"/>
              <w:autoSpaceDN w:val="0"/>
              <w:bidi w:val="0"/>
              <w:spacing w:before="194" w:line="222" w:lineRule="auto"/>
              <w:ind w:left="485"/>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联系电话</w:t>
            </w:r>
          </w:p>
        </w:tc>
        <w:tc>
          <w:tcPr>
            <w:tcW w:w="1936" w:type="dxa"/>
            <w:gridSpan w:val="2"/>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567" w:type="dxa"/>
          </w:tcPr>
          <w:p>
            <w:pPr>
              <w:keepNext w:val="0"/>
              <w:keepLines w:val="0"/>
              <w:pageBreakBefore w:val="0"/>
              <w:kinsoku/>
              <w:wordWrap/>
              <w:overflowPunct/>
              <w:topLinePunct w:val="0"/>
              <w:autoSpaceDE w:val="0"/>
              <w:autoSpaceDN w:val="0"/>
              <w:bidi w:val="0"/>
              <w:spacing w:before="193" w:line="221" w:lineRule="auto"/>
              <w:ind w:left="805"/>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设计单位</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2567" w:type="dxa"/>
          </w:tcPr>
          <w:p>
            <w:pPr>
              <w:keepNext w:val="0"/>
              <w:keepLines w:val="0"/>
              <w:pageBreakBefore w:val="0"/>
              <w:kinsoku/>
              <w:wordWrap/>
              <w:overflowPunct/>
              <w:topLinePunct w:val="0"/>
              <w:autoSpaceDE w:val="0"/>
              <w:autoSpaceDN w:val="0"/>
              <w:bidi w:val="0"/>
              <w:spacing w:before="194" w:line="222" w:lineRule="auto"/>
              <w:ind w:left="922"/>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联系人</w:t>
            </w:r>
          </w:p>
        </w:tc>
        <w:tc>
          <w:tcPr>
            <w:tcW w:w="1811"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c>
          <w:tcPr>
            <w:tcW w:w="2045" w:type="dxa"/>
          </w:tcPr>
          <w:p>
            <w:pPr>
              <w:keepNext w:val="0"/>
              <w:keepLines w:val="0"/>
              <w:pageBreakBefore w:val="0"/>
              <w:kinsoku/>
              <w:wordWrap/>
              <w:overflowPunct/>
              <w:topLinePunct w:val="0"/>
              <w:autoSpaceDE w:val="0"/>
              <w:autoSpaceDN w:val="0"/>
              <w:bidi w:val="0"/>
              <w:spacing w:before="194" w:line="222" w:lineRule="auto"/>
              <w:ind w:left="485"/>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联系电话</w:t>
            </w:r>
          </w:p>
        </w:tc>
        <w:tc>
          <w:tcPr>
            <w:tcW w:w="1936" w:type="dxa"/>
            <w:gridSpan w:val="2"/>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2567" w:type="dxa"/>
          </w:tcPr>
          <w:p>
            <w:pPr>
              <w:keepNext w:val="0"/>
              <w:keepLines w:val="0"/>
              <w:pageBreakBefore w:val="0"/>
              <w:kinsoku/>
              <w:wordWrap/>
              <w:overflowPunct/>
              <w:topLinePunct w:val="0"/>
              <w:autoSpaceDE w:val="0"/>
              <w:autoSpaceDN w:val="0"/>
              <w:bidi w:val="0"/>
              <w:spacing w:before="195" w:line="221" w:lineRule="auto"/>
              <w:ind w:left="800"/>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施工单位</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2567" w:type="dxa"/>
          </w:tcPr>
          <w:p>
            <w:pPr>
              <w:keepNext w:val="0"/>
              <w:keepLines w:val="0"/>
              <w:pageBreakBefore w:val="0"/>
              <w:kinsoku/>
              <w:wordWrap/>
              <w:overflowPunct/>
              <w:topLinePunct w:val="0"/>
              <w:autoSpaceDE w:val="0"/>
              <w:autoSpaceDN w:val="0"/>
              <w:bidi w:val="0"/>
              <w:spacing w:before="198" w:line="222" w:lineRule="auto"/>
              <w:ind w:left="922"/>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联系人</w:t>
            </w:r>
          </w:p>
        </w:tc>
        <w:tc>
          <w:tcPr>
            <w:tcW w:w="1811"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c>
          <w:tcPr>
            <w:tcW w:w="2045" w:type="dxa"/>
          </w:tcPr>
          <w:p>
            <w:pPr>
              <w:keepNext w:val="0"/>
              <w:keepLines w:val="0"/>
              <w:pageBreakBefore w:val="0"/>
              <w:kinsoku/>
              <w:wordWrap/>
              <w:overflowPunct/>
              <w:topLinePunct w:val="0"/>
              <w:autoSpaceDE w:val="0"/>
              <w:autoSpaceDN w:val="0"/>
              <w:bidi w:val="0"/>
              <w:spacing w:before="198" w:line="222" w:lineRule="auto"/>
              <w:ind w:left="485"/>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联系电话</w:t>
            </w:r>
          </w:p>
        </w:tc>
        <w:tc>
          <w:tcPr>
            <w:tcW w:w="1936" w:type="dxa"/>
            <w:gridSpan w:val="2"/>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2567" w:type="dxa"/>
          </w:tcPr>
          <w:p>
            <w:pPr>
              <w:keepNext w:val="0"/>
              <w:keepLines w:val="0"/>
              <w:pageBreakBefore w:val="0"/>
              <w:kinsoku/>
              <w:wordWrap/>
              <w:overflowPunct/>
              <w:topLinePunct w:val="0"/>
              <w:autoSpaceDE w:val="0"/>
              <w:autoSpaceDN w:val="0"/>
              <w:bidi w:val="0"/>
              <w:spacing w:before="195" w:line="221"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建筑面积</w:t>
            </w:r>
          </w:p>
        </w:tc>
        <w:tc>
          <w:tcPr>
            <w:tcW w:w="1811"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c>
          <w:tcPr>
            <w:tcW w:w="2045" w:type="dxa"/>
          </w:tcPr>
          <w:p>
            <w:pPr>
              <w:keepNext w:val="0"/>
              <w:keepLines w:val="0"/>
              <w:pageBreakBefore w:val="0"/>
              <w:kinsoku/>
              <w:wordWrap/>
              <w:overflowPunct/>
              <w:topLinePunct w:val="0"/>
              <w:autoSpaceDE w:val="0"/>
              <w:autoSpaceDN w:val="0"/>
              <w:bidi w:val="0"/>
              <w:spacing w:before="195" w:line="220" w:lineRule="auto"/>
              <w:ind w:left="483"/>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楼栋总数</w:t>
            </w:r>
          </w:p>
        </w:tc>
        <w:tc>
          <w:tcPr>
            <w:tcW w:w="1936" w:type="dxa"/>
            <w:gridSpan w:val="2"/>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2567" w:type="dxa"/>
          </w:tcPr>
          <w:p>
            <w:pPr>
              <w:keepNext w:val="0"/>
              <w:keepLines w:val="0"/>
              <w:pageBreakBefore w:val="0"/>
              <w:kinsoku/>
              <w:wordWrap/>
              <w:overflowPunct/>
              <w:topLinePunct w:val="0"/>
              <w:autoSpaceDE w:val="0"/>
              <w:autoSpaceDN w:val="0"/>
              <w:bidi w:val="0"/>
              <w:spacing w:before="196" w:line="221" w:lineRule="auto"/>
              <w:ind w:left="802"/>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开工日期</w:t>
            </w:r>
          </w:p>
        </w:tc>
        <w:tc>
          <w:tcPr>
            <w:tcW w:w="1811" w:type="dxa"/>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c>
          <w:tcPr>
            <w:tcW w:w="2045" w:type="dxa"/>
          </w:tcPr>
          <w:p>
            <w:pPr>
              <w:keepNext w:val="0"/>
              <w:keepLines w:val="0"/>
              <w:pageBreakBefore w:val="0"/>
              <w:kinsoku/>
              <w:wordWrap/>
              <w:overflowPunct/>
              <w:topLinePunct w:val="0"/>
              <w:autoSpaceDE w:val="0"/>
              <w:autoSpaceDN w:val="0"/>
              <w:bidi w:val="0"/>
              <w:spacing w:before="196" w:line="220" w:lineRule="auto"/>
              <w:ind w:left="485"/>
              <w:jc w:val="both"/>
              <w:rPr>
                <w:rFonts w:hint="eastAsia" w:ascii="宋体" w:hAnsi="宋体" w:eastAsia="宋体" w:cs="宋体"/>
                <w:color w:val="auto"/>
                <w:sz w:val="24"/>
                <w:szCs w:val="24"/>
              </w:rPr>
            </w:pPr>
            <w:r>
              <w:rPr>
                <w:rFonts w:hint="eastAsia" w:ascii="宋体" w:hAnsi="宋体" w:eastAsia="宋体" w:cs="宋体"/>
                <w:color w:val="auto"/>
                <w:spacing w:val="-3"/>
                <w:sz w:val="24"/>
                <w:szCs w:val="24"/>
              </w:rPr>
              <w:t>竣工日期</w:t>
            </w:r>
          </w:p>
        </w:tc>
        <w:tc>
          <w:tcPr>
            <w:tcW w:w="1936" w:type="dxa"/>
            <w:gridSpan w:val="2"/>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2567" w:type="dxa"/>
          </w:tcPr>
          <w:p>
            <w:pPr>
              <w:keepNext w:val="0"/>
              <w:keepLines w:val="0"/>
              <w:pageBreakBefore w:val="0"/>
              <w:kinsoku/>
              <w:wordWrap/>
              <w:overflowPunct/>
              <w:topLinePunct w:val="0"/>
              <w:autoSpaceDE w:val="0"/>
              <w:autoSpaceDN w:val="0"/>
              <w:bidi w:val="0"/>
              <w:spacing w:before="227" w:line="220"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核算依据</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2567" w:type="dxa"/>
          </w:tcPr>
          <w:p>
            <w:pPr>
              <w:keepNext w:val="0"/>
              <w:keepLines w:val="0"/>
              <w:pageBreakBefore w:val="0"/>
              <w:kinsoku/>
              <w:wordWrap/>
              <w:overflowPunct/>
              <w:topLinePunct w:val="0"/>
              <w:autoSpaceDE w:val="0"/>
              <w:autoSpaceDN w:val="0"/>
              <w:bidi w:val="0"/>
              <w:spacing w:before="228" w:line="220"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核算单位</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2567" w:type="dxa"/>
          </w:tcPr>
          <w:p>
            <w:pPr>
              <w:keepNext w:val="0"/>
              <w:keepLines w:val="0"/>
              <w:pageBreakBefore w:val="0"/>
              <w:kinsoku/>
              <w:wordWrap/>
              <w:overflowPunct/>
              <w:topLinePunct w:val="0"/>
              <w:autoSpaceDE w:val="0"/>
              <w:autoSpaceDN w:val="0"/>
              <w:bidi w:val="0"/>
              <w:spacing w:before="202" w:line="220"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核算成员</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2567" w:type="dxa"/>
          </w:tcPr>
          <w:p>
            <w:pPr>
              <w:keepNext w:val="0"/>
              <w:keepLines w:val="0"/>
              <w:pageBreakBefore w:val="0"/>
              <w:kinsoku/>
              <w:wordWrap/>
              <w:overflowPunct/>
              <w:topLinePunct w:val="0"/>
              <w:autoSpaceDE w:val="0"/>
              <w:autoSpaceDN w:val="0"/>
              <w:bidi w:val="0"/>
              <w:spacing w:before="202" w:line="220" w:lineRule="auto"/>
              <w:ind w:left="804"/>
              <w:jc w:val="both"/>
              <w:rPr>
                <w:rFonts w:hint="eastAsia" w:ascii="宋体" w:hAnsi="宋体" w:eastAsia="宋体" w:cs="宋体"/>
                <w:color w:val="auto"/>
                <w:sz w:val="24"/>
                <w:szCs w:val="24"/>
              </w:rPr>
            </w:pPr>
            <w:r>
              <w:rPr>
                <w:rFonts w:hint="eastAsia" w:ascii="宋体" w:hAnsi="宋体" w:eastAsia="宋体" w:cs="宋体"/>
                <w:color w:val="auto"/>
                <w:spacing w:val="-4"/>
                <w:sz w:val="24"/>
                <w:szCs w:val="24"/>
              </w:rPr>
              <w:t>核算时间</w:t>
            </w:r>
          </w:p>
        </w:tc>
        <w:tc>
          <w:tcPr>
            <w:tcW w:w="5792" w:type="dxa"/>
            <w:gridSpan w:val="4"/>
          </w:tcPr>
          <w:p>
            <w:pPr>
              <w:pStyle w:val="17"/>
              <w:keepNext w:val="0"/>
              <w:keepLines w:val="0"/>
              <w:pageBreakBefore w:val="0"/>
              <w:kinsoku/>
              <w:wordWrap/>
              <w:overflowPunct/>
              <w:topLinePunct w:val="0"/>
              <w:autoSpaceDE w:val="0"/>
              <w:autoSpaceDN w:val="0"/>
              <w:bidi w:val="0"/>
              <w:jc w:val="both"/>
              <w:rPr>
                <w:rFonts w:hint="eastAsia" w:ascii="宋体" w:hAnsi="宋体" w:eastAsia="宋体" w:cs="宋体"/>
                <w:color w:val="auto"/>
                <w:sz w:val="24"/>
                <w:szCs w:val="24"/>
              </w:rPr>
            </w:pPr>
          </w:p>
        </w:tc>
      </w:tr>
    </w:tbl>
    <w:p>
      <w:pPr>
        <w:keepNext w:val="0"/>
        <w:keepLines w:val="0"/>
        <w:pageBreakBefore w:val="0"/>
        <w:kinsoku/>
        <w:wordWrap/>
        <w:overflowPunct/>
        <w:topLinePunct w:val="0"/>
        <w:autoSpaceDE w:val="0"/>
        <w:autoSpaceDN w:val="0"/>
        <w:bidi w:val="0"/>
        <w:spacing w:before="160" w:line="226" w:lineRule="auto"/>
        <w:ind w:left="130"/>
        <w:jc w:val="both"/>
        <w:rPr>
          <w:rFonts w:hint="eastAsia" w:ascii="宋体" w:hAnsi="宋体" w:eastAsia="宋体" w:cs="宋体"/>
          <w:color w:val="auto"/>
          <w:sz w:val="31"/>
          <w:szCs w:val="31"/>
          <w:lang w:eastAsia="zh-CN"/>
        </w:rPr>
      </w:pPr>
      <w:r>
        <w:rPr>
          <w:rFonts w:hint="eastAsia" w:ascii="宋体" w:hAnsi="宋体" w:eastAsia="宋体" w:cs="宋体"/>
          <w:color w:val="auto"/>
          <w:spacing w:val="8"/>
          <w:sz w:val="31"/>
          <w:szCs w:val="31"/>
          <w:lang w:eastAsia="zh-CN"/>
        </w:rPr>
        <w:t>二、主要建筑材料应用明细表</w:t>
      </w:r>
    </w:p>
    <w:p>
      <w:pPr>
        <w:keepNext w:val="0"/>
        <w:keepLines w:val="0"/>
        <w:pageBreakBefore w:val="0"/>
        <w:kinsoku/>
        <w:wordWrap/>
        <w:overflowPunct/>
        <w:topLinePunct w:val="0"/>
        <w:autoSpaceDE w:val="0"/>
        <w:autoSpaceDN w:val="0"/>
        <w:bidi w:val="0"/>
        <w:spacing w:line="93" w:lineRule="exact"/>
        <w:jc w:val="both"/>
        <w:rPr>
          <w:rFonts w:hint="eastAsia" w:ascii="宋体" w:hAnsi="宋体" w:eastAsia="宋体" w:cs="宋体"/>
          <w:color w:val="auto"/>
          <w:lang w:eastAsia="zh-CN"/>
        </w:rPr>
      </w:pPr>
    </w:p>
    <w:tbl>
      <w:tblPr>
        <w:tblStyle w:val="16"/>
        <w:tblW w:w="82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4"/>
        <w:gridCol w:w="1224"/>
        <w:gridCol w:w="1178"/>
        <w:gridCol w:w="1248"/>
        <w:gridCol w:w="1453"/>
        <w:gridCol w:w="1079"/>
        <w:gridCol w:w="11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1" w:hRule="atLeast"/>
        </w:trPr>
        <w:tc>
          <w:tcPr>
            <w:tcW w:w="97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类别</w:t>
            </w: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材料名称</w:t>
            </w: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规格型号</w:t>
            </w: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材料供应单 位</w:t>
            </w: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材料生产商 （品牌）</w:t>
            </w: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竣工图决算量</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rPr>
            </w:pPr>
            <w:r>
              <w:rPr>
                <w:rFonts w:hint="eastAsia" w:ascii="宋体" w:hAnsi="宋体" w:eastAsia="宋体" w:cs="宋体"/>
                <w:b/>
                <w:bCs/>
                <w:color w:val="auto"/>
              </w:rPr>
              <w:t>是否绿色建材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restart"/>
            <w:tcBorders>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eastAsia="zh-CN"/>
              </w:rPr>
            </w:pPr>
            <w:r>
              <w:rPr>
                <w:rFonts w:hint="eastAsia" w:ascii="宋体" w:hAnsi="宋体" w:eastAsia="宋体" w:cs="宋体"/>
                <w:b/>
                <w:bCs/>
                <w:color w:val="auto"/>
                <w:lang w:eastAsia="zh-CN"/>
              </w:rPr>
              <w:t>主体及围护结</w:t>
            </w:r>
          </w:p>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eastAsia="zh-CN"/>
              </w:rPr>
            </w:pPr>
            <w:r>
              <w:rPr>
                <w:rFonts w:hint="eastAsia" w:ascii="宋体" w:hAnsi="宋体" w:eastAsia="宋体" w:cs="宋体"/>
                <w:b/>
                <w:bCs/>
                <w:color w:val="auto"/>
                <w:lang w:eastAsia="zh-CN"/>
              </w:rPr>
              <w:t>构工程用材</w:t>
            </w: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zh-CN"/>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zh-CN"/>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974"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zh-CN"/>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restart"/>
            <w:tcBorders>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r>
              <w:rPr>
                <w:rFonts w:hint="eastAsia" w:ascii="宋体" w:hAnsi="宋体" w:eastAsia="宋体" w:cs="宋体"/>
                <w:b/>
                <w:bCs/>
                <w:color w:val="auto"/>
                <w:lang w:val="en-US" w:eastAsia="en-US"/>
              </w:rPr>
              <w:t>装饰装修工程用材</w:t>
            </w: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restart"/>
            <w:tcBorders>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r>
              <w:rPr>
                <w:rFonts w:hint="eastAsia" w:ascii="宋体" w:hAnsi="宋体" w:eastAsia="宋体" w:cs="宋体"/>
                <w:b/>
                <w:bCs/>
                <w:color w:val="auto"/>
                <w:lang w:val="en-US" w:eastAsia="en-US"/>
              </w:rPr>
              <w:t>机电安装工程用材</w:t>
            </w: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restart"/>
            <w:tcBorders>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p>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b/>
                <w:bCs/>
                <w:color w:val="auto"/>
                <w:lang w:val="en-US" w:eastAsia="en-US"/>
              </w:rPr>
            </w:pPr>
            <w:r>
              <w:rPr>
                <w:rFonts w:hint="eastAsia" w:ascii="宋体" w:hAnsi="宋体" w:eastAsia="宋体" w:cs="宋体"/>
                <w:b/>
                <w:bCs/>
                <w:color w:val="auto"/>
                <w:lang w:val="en-US" w:eastAsia="en-US"/>
              </w:rPr>
              <w:t>室外工程用材</w:t>
            </w: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74" w:type="dxa"/>
            <w:vMerge w:val="continue"/>
            <w:tcBorders>
              <w:top w:val="nil"/>
              <w:bottom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974"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2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7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248"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453"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p>
        </w:tc>
        <w:tc>
          <w:tcPr>
            <w:tcW w:w="1079"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c>
          <w:tcPr>
            <w:tcW w:w="112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outlineLvl w:val="9"/>
              <w:rPr>
                <w:rFonts w:hint="eastAsia" w:ascii="宋体" w:hAnsi="宋体" w:eastAsia="宋体" w:cs="宋体"/>
                <w:color w:val="auto"/>
              </w:rPr>
            </w:pPr>
            <w:r>
              <w:rPr>
                <w:rFonts w:hint="eastAsia" w:ascii="宋体" w:hAnsi="宋体" w:eastAsia="宋体" w:cs="宋体"/>
                <w:color w:val="auto"/>
              </w:rPr>
              <w:t>……</w:t>
            </w:r>
          </w:p>
        </w:tc>
      </w:tr>
    </w:tbl>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注：</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1 当某项目为多栋建筑构成，按编号分别列出；</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2 表中相关数据应按企业提供技术支撑材料填写， 必要时应对其提供材料进行抽查。</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sectPr>
          <w:footerReference r:id="rId8" w:type="default"/>
          <w:pgSz w:w="11907" w:h="16839"/>
          <w:pgMar w:top="1431" w:right="1785" w:bottom="1283" w:left="1687" w:header="0" w:footer="1106" w:gutter="0"/>
          <w:pgNumType w:fmt="decimal"/>
          <w:cols w:space="720" w:num="1"/>
        </w:sectPr>
      </w:pPr>
    </w:p>
    <w:p>
      <w:pPr>
        <w:keepNext w:val="0"/>
        <w:keepLines w:val="0"/>
        <w:pageBreakBefore w:val="0"/>
        <w:kinsoku/>
        <w:wordWrap/>
        <w:overflowPunct/>
        <w:topLinePunct w:val="0"/>
        <w:autoSpaceDE w:val="0"/>
        <w:autoSpaceDN w:val="0"/>
        <w:bidi w:val="0"/>
        <w:spacing w:before="160" w:line="226" w:lineRule="auto"/>
        <w:ind w:left="148"/>
        <w:jc w:val="both"/>
        <w:rPr>
          <w:rFonts w:hint="eastAsia" w:ascii="宋体" w:hAnsi="宋体" w:eastAsia="宋体" w:cs="宋体"/>
          <w:color w:val="auto"/>
          <w:sz w:val="31"/>
          <w:szCs w:val="31"/>
          <w:lang w:eastAsia="zh-CN"/>
        </w:rPr>
      </w:pPr>
      <w:r>
        <w:rPr>
          <w:rFonts w:hint="eastAsia" w:ascii="宋体" w:hAnsi="宋体" w:eastAsia="宋体" w:cs="宋体"/>
          <w:color w:val="auto"/>
          <w:spacing w:val="8"/>
          <w:sz w:val="31"/>
          <w:szCs w:val="31"/>
          <w:lang w:eastAsia="zh-CN"/>
        </w:rPr>
        <w:t>三、绿色建材应用比例计算汇总表——竣工验收阶段</w:t>
      </w:r>
    </w:p>
    <w:p>
      <w:pPr>
        <w:keepNext w:val="0"/>
        <w:keepLines w:val="0"/>
        <w:pageBreakBefore w:val="0"/>
        <w:kinsoku/>
        <w:wordWrap/>
        <w:overflowPunct/>
        <w:topLinePunct w:val="0"/>
        <w:autoSpaceDE w:val="0"/>
        <w:autoSpaceDN w:val="0"/>
        <w:bidi w:val="0"/>
        <w:spacing w:line="93" w:lineRule="exact"/>
        <w:jc w:val="both"/>
        <w:rPr>
          <w:rFonts w:hint="eastAsia" w:ascii="宋体" w:hAnsi="宋体" w:eastAsia="宋体" w:cs="宋体"/>
          <w:color w:val="auto"/>
          <w:lang w:eastAsia="zh-CN"/>
        </w:rPr>
      </w:pPr>
    </w:p>
    <w:tbl>
      <w:tblPr>
        <w:tblStyle w:val="13"/>
        <w:tblW w:w="142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0"/>
        <w:gridCol w:w="360"/>
        <w:gridCol w:w="1050"/>
        <w:gridCol w:w="1263"/>
        <w:gridCol w:w="816"/>
        <w:gridCol w:w="1770"/>
        <w:gridCol w:w="596"/>
        <w:gridCol w:w="794"/>
        <w:gridCol w:w="781"/>
        <w:gridCol w:w="807"/>
        <w:gridCol w:w="807"/>
        <w:gridCol w:w="605"/>
        <w:gridCol w:w="517"/>
        <w:gridCol w:w="1311"/>
        <w:gridCol w:w="857"/>
        <w:gridCol w:w="1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2" w:hRule="atLeast"/>
        </w:trPr>
        <w:tc>
          <w:tcPr>
            <w:tcW w:w="59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计算指标</w:t>
            </w:r>
          </w:p>
        </w:tc>
        <w:tc>
          <w:tcPr>
            <w:tcW w:w="5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是否为绿色建材</w:t>
            </w:r>
          </w:p>
        </w:tc>
        <w:tc>
          <w:tcPr>
            <w:tcW w:w="7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绿色建材应用量</w:t>
            </w: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建筑材料应用总量</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二级指标应用比例</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是否绿色建材≥80%</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二级指标分值</w:t>
            </w: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是否不参评</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实际得分</w:t>
            </w:r>
          </w:p>
        </w:tc>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snapToGrid w:val="0"/>
                <w:color w:val="auto"/>
                <w:kern w:val="0"/>
                <w:sz w:val="24"/>
                <w:szCs w:val="24"/>
                <w:u w:val="none"/>
                <w:lang w:val="en-US" w:eastAsia="zh-CN" w:bidi="ar"/>
              </w:rPr>
            </w:pPr>
            <w:r>
              <w:rPr>
                <w:rFonts w:hint="eastAsia" w:ascii="宋体" w:hAnsi="宋体" w:eastAsia="宋体" w:cs="宋体"/>
                <w:b/>
                <w:i w:val="0"/>
                <w:snapToGrid w:val="0"/>
                <w:color w:val="auto"/>
                <w:kern w:val="0"/>
                <w:sz w:val="24"/>
                <w:szCs w:val="24"/>
                <w:u w:val="none"/>
                <w:lang w:val="en-US" w:eastAsia="zh-CN" w:bidi="ar"/>
              </w:rPr>
              <w:t>计算</w:t>
            </w:r>
          </w:p>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方式</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一级指标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序号</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二级指标</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snapToGrid w:val="0"/>
                <w:color w:val="auto"/>
                <w:kern w:val="0"/>
                <w:sz w:val="24"/>
                <w:szCs w:val="24"/>
                <w:u w:val="none"/>
                <w:lang w:val="en-US" w:eastAsia="zh-CN" w:bidi="ar"/>
              </w:rPr>
            </w:pPr>
            <w:r>
              <w:rPr>
                <w:rFonts w:hint="eastAsia" w:ascii="宋体" w:hAnsi="宋体" w:eastAsia="宋体" w:cs="宋体"/>
                <w:b/>
                <w:i w:val="0"/>
                <w:snapToGrid w:val="0"/>
                <w:color w:val="auto"/>
                <w:kern w:val="0"/>
                <w:sz w:val="24"/>
                <w:szCs w:val="24"/>
                <w:u w:val="none"/>
                <w:lang w:val="en-US" w:eastAsia="zh-CN" w:bidi="ar"/>
              </w:rPr>
              <w:t>三级</w:t>
            </w:r>
          </w:p>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用量</w:t>
            </w:r>
          </w:p>
        </w:tc>
        <w:tc>
          <w:tcPr>
            <w:tcW w:w="5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47"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主体及围护结构工程用材Q1</w:t>
            </w:r>
          </w:p>
        </w:tc>
        <w:tc>
          <w:tcPr>
            <w:tcW w:w="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3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*预拌混凝土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（填写本二级指标对应的三级指标项目）</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（填写三级指标具体用量。同一二级指标下的三级指标如计量单位相同，可按对应单位填写，例如m、㎡、m³、个、扇等；如计量单位不同，可按对应材料总造价指标填写）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（填写“是”或“否”）</w:t>
            </w:r>
          </w:p>
        </w:tc>
        <w:tc>
          <w:tcPr>
            <w:tcW w:w="7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（填写对应二级指标中满足绿色建材的三级指标建材总用量）</w:t>
            </w:r>
          </w:p>
        </w:tc>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val="0"/>
                <w:bCs w:val="0"/>
                <w:i w:val="0"/>
                <w:color w:val="auto"/>
                <w:sz w:val="21"/>
                <w:szCs w:val="21"/>
                <w:u w:val="none"/>
              </w:rPr>
            </w:pPr>
            <w:r>
              <w:rPr>
                <w:rFonts w:hint="eastAsia" w:ascii="宋体" w:hAnsi="宋体" w:eastAsia="宋体" w:cs="宋体"/>
                <w:b w:val="0"/>
                <w:bCs w:val="0"/>
                <w:i w:val="0"/>
                <w:snapToGrid w:val="0"/>
                <w:color w:val="auto"/>
                <w:kern w:val="0"/>
                <w:sz w:val="21"/>
                <w:szCs w:val="21"/>
                <w:u w:val="none"/>
                <w:lang w:val="en-US" w:eastAsia="zh-CN" w:bidi="ar"/>
              </w:rPr>
              <w:t>（填写对应二级指标建材总用量）</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val="0"/>
                <w:bCs w:val="0"/>
                <w:i w:val="0"/>
                <w:color w:val="auto"/>
                <w:sz w:val="21"/>
                <w:szCs w:val="21"/>
                <w:u w:val="none"/>
              </w:rPr>
            </w:pPr>
            <w:r>
              <w:rPr>
                <w:rFonts w:hint="eastAsia" w:ascii="宋体" w:hAnsi="宋体" w:eastAsia="宋体" w:cs="宋体"/>
                <w:b w:val="0"/>
                <w:bCs w:val="0"/>
                <w:color w:val="auto"/>
                <w:sz w:val="21"/>
                <w:szCs w:val="21"/>
                <w:u w:val="none"/>
              </w:rPr>
              <w:t>（填写对应二级指标中绿色建材应用量/建筑材料应用总量的百分值）</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（填写“是”或“否”）</w:t>
            </w:r>
          </w:p>
        </w:tc>
        <w:tc>
          <w:tcPr>
            <w:tcW w:w="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（本项参评填“-”不参评填“○”）</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（填写本二级指标实际得分，同列各项填写规则相同）</w:t>
            </w:r>
          </w:p>
        </w:tc>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3"/>
                <w:szCs w:val="23"/>
                <w:u w:val="none"/>
              </w:rPr>
            </w:pPr>
            <w:r>
              <w:rPr>
                <w:rFonts w:hint="eastAsia" w:ascii="宋体" w:hAnsi="宋体" w:eastAsia="宋体" w:cs="宋体"/>
                <w:i w:val="0"/>
                <w:snapToGrid w:val="0"/>
                <w:color w:val="auto"/>
                <w:kern w:val="0"/>
                <w:sz w:val="23"/>
                <w:szCs w:val="23"/>
                <w:u w:val="none"/>
                <w:lang w:val="en-US" w:eastAsia="zh-CN" w:bidi="ar"/>
              </w:rPr>
              <w:t>Q1共10个二级指标，小计40分，二级指标不参评项分值计入Q5。</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snapToGrid w:val="0"/>
                <w:color w:val="auto"/>
                <w:kern w:val="0"/>
                <w:sz w:val="22"/>
                <w:szCs w:val="22"/>
                <w:u w:val="none"/>
                <w:lang w:val="en-US" w:eastAsia="zh-CN" w:bidi="ar"/>
              </w:rPr>
              <w:t>其他土建材料包含但不限于以下材料</w:t>
            </w:r>
            <w:r>
              <w:rPr>
                <w:rStyle w:val="22"/>
                <w:rFonts w:hint="eastAsia" w:ascii="宋体" w:hAnsi="宋体" w:eastAsia="宋体" w:cs="宋体"/>
                <w:snapToGrid w:val="0"/>
                <w:color w:val="auto"/>
                <w:sz w:val="22"/>
                <w:szCs w:val="22"/>
                <w:u w:val="none"/>
                <w:lang w:val="en-US" w:eastAsia="zh-CN" w:bidi="ar"/>
              </w:rPr>
              <w:t>：轻钢龙骨、遮阳制品、集成房屋、结构修复材料、施工辅助机具及产品、厂拌沥青、固废再生材料及其制品等，</w:t>
            </w:r>
            <w:r>
              <w:rPr>
                <w:rStyle w:val="21"/>
                <w:rFonts w:hint="eastAsia" w:ascii="宋体" w:hAnsi="宋体" w:eastAsia="宋体" w:cs="宋体"/>
                <w:snapToGrid w:val="0"/>
                <w:color w:val="auto"/>
                <w:sz w:val="22"/>
                <w:szCs w:val="22"/>
                <w:u w:val="none"/>
                <w:lang w:val="en-US" w:eastAsia="zh-CN" w:bidi="ar"/>
              </w:rPr>
              <w:t>每项2分，最多得4分。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23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*预制混凝土构件</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钢结构构件</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现代木结构用材</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*预拌砂浆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*砌体材料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防水密封材料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6</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*保温隔热材料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7</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*节能外门窗/透光幕墙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8</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非透光幕墙、外墙板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9</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*钢筋及连接件</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10</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其它土建材料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Q1总分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（填写Q1实际总得分）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装饰装修工程用材Q2</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吊顶</w:t>
            </w:r>
            <w:r>
              <w:rPr>
                <w:rFonts w:hint="eastAsia" w:ascii="宋体" w:hAnsi="宋体" w:cs="宋体"/>
                <w:i w:val="0"/>
                <w:snapToGrid w:val="0"/>
                <w:color w:val="auto"/>
                <w:kern w:val="0"/>
                <w:sz w:val="24"/>
                <w:szCs w:val="24"/>
                <w:u w:val="none"/>
                <w:lang w:val="en-US" w:eastAsia="zh-CN" w:bidi="ar"/>
              </w:rPr>
              <w:t>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3"/>
                <w:szCs w:val="23"/>
                <w:u w:val="none"/>
              </w:rPr>
            </w:pPr>
            <w:r>
              <w:rPr>
                <w:rFonts w:hint="eastAsia" w:ascii="宋体" w:hAnsi="宋体" w:eastAsia="宋体" w:cs="宋体"/>
                <w:i w:val="0"/>
                <w:snapToGrid w:val="0"/>
                <w:color w:val="auto"/>
                <w:kern w:val="0"/>
                <w:sz w:val="23"/>
                <w:szCs w:val="23"/>
                <w:u w:val="none"/>
                <w:lang w:val="en-US" w:eastAsia="zh-CN" w:bidi="ar"/>
              </w:rPr>
              <w:t>Q2共10个二级指标，小计30分，二级指标不参评项分值计入Q5。</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snapToGrid w:val="0"/>
                <w:color w:val="auto"/>
                <w:kern w:val="0"/>
                <w:sz w:val="22"/>
                <w:szCs w:val="22"/>
                <w:u w:val="none"/>
                <w:lang w:val="en-US" w:eastAsia="zh-CN" w:bidi="ar"/>
              </w:rPr>
              <w:t>其他装饰材料包含但不限于以下材料</w:t>
            </w:r>
            <w:r>
              <w:rPr>
                <w:rStyle w:val="22"/>
                <w:rFonts w:hint="eastAsia" w:ascii="宋体" w:hAnsi="宋体" w:eastAsia="宋体" w:cs="宋体"/>
                <w:snapToGrid w:val="0"/>
                <w:color w:val="auto"/>
                <w:sz w:val="22"/>
                <w:szCs w:val="22"/>
                <w:u w:val="none"/>
                <w:lang w:val="en-US" w:eastAsia="zh-CN" w:bidi="ar"/>
              </w:rPr>
              <w:t>：</w:t>
            </w:r>
            <w:r>
              <w:rPr>
                <w:rStyle w:val="21"/>
                <w:rFonts w:hint="eastAsia" w:ascii="宋体" w:hAnsi="宋体" w:eastAsia="宋体" w:cs="宋体"/>
                <w:snapToGrid w:val="0"/>
                <w:color w:val="auto"/>
                <w:sz w:val="22"/>
                <w:szCs w:val="22"/>
                <w:u w:val="none"/>
                <w:lang w:val="en-US" w:eastAsia="zh-CN" w:bidi="ar"/>
              </w:rPr>
              <w:t>抗菌净化材料、装配式集成墙面、整体橱柜、环保型壁纸（布）、装修装饰用木制品、装修装饰用金属制品、装修装饰用石材、其他建筑装饰板、建筑陶瓷制品等，每项1.5分，最多得3分。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楼地面、屋面装饰材料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4.5</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*室内涂料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外墙装饰材料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*建筑内隔墙板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6</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石膏装饰材料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7</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建筑内门窗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8</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电气照明</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9</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卫生洁具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1"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10</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其它装饰材料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Q2总分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（填写Q2实际总得分）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机电安装工程用材Q3</w:t>
            </w: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给排水管材管件阀门</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3"/>
                <w:szCs w:val="23"/>
                <w:u w:val="none"/>
              </w:rPr>
            </w:pPr>
            <w:r>
              <w:rPr>
                <w:rFonts w:hint="eastAsia" w:ascii="宋体" w:hAnsi="宋体" w:eastAsia="宋体" w:cs="宋体"/>
                <w:i w:val="0"/>
                <w:snapToGrid w:val="0"/>
                <w:color w:val="auto"/>
                <w:kern w:val="0"/>
                <w:sz w:val="23"/>
                <w:szCs w:val="23"/>
                <w:u w:val="none"/>
                <w:lang w:val="en-US" w:eastAsia="zh-CN" w:bidi="ar"/>
              </w:rPr>
              <w:t>Q3共10个二级指标，小计20分，二级指标不参评项分值计入Q5。</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snapToGrid w:val="0"/>
                <w:color w:val="auto"/>
                <w:kern w:val="0"/>
                <w:sz w:val="22"/>
                <w:szCs w:val="22"/>
                <w:u w:val="none"/>
                <w:lang w:val="en-US" w:eastAsia="zh-CN" w:bidi="ar"/>
              </w:rPr>
              <w:t>其他机电材料包含但不限于以下材料</w:t>
            </w:r>
            <w:r>
              <w:rPr>
                <w:rStyle w:val="22"/>
                <w:rFonts w:hint="eastAsia" w:ascii="宋体" w:hAnsi="宋体" w:eastAsia="宋体" w:cs="宋体"/>
                <w:snapToGrid w:val="0"/>
                <w:color w:val="auto"/>
                <w:sz w:val="22"/>
                <w:szCs w:val="22"/>
                <w:u w:val="none"/>
                <w:lang w:val="en-US" w:eastAsia="zh-CN" w:bidi="ar"/>
              </w:rPr>
              <w:t>：其他采光系统产品、光伏发电系统、控制计量系统、辐射供暖设备及系统、蓄能材料及其装置、热交换器、风管用保温管（板）等，每项1分，最多得2分。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snapToGrid w:val="0"/>
                <w:color w:val="auto"/>
                <w:kern w:val="0"/>
                <w:sz w:val="24"/>
                <w:szCs w:val="24"/>
                <w:u w:val="none"/>
                <w:lang w:val="en-US" w:eastAsia="zh-CN" w:bidi="ar"/>
              </w:rPr>
            </w:pPr>
            <w:r>
              <w:rPr>
                <w:rFonts w:hint="eastAsia" w:ascii="宋体" w:hAnsi="宋体" w:eastAsia="宋体" w:cs="宋体"/>
                <w:i w:val="0"/>
                <w:snapToGrid w:val="0"/>
                <w:color w:val="auto"/>
                <w:kern w:val="0"/>
                <w:sz w:val="24"/>
                <w:szCs w:val="24"/>
                <w:u w:val="none"/>
                <w:lang w:val="en-US" w:eastAsia="zh-CN" w:bidi="ar"/>
              </w:rPr>
              <w:t>水处理设备/</w:t>
            </w:r>
          </w:p>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二次供水设备</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高低压配电柜</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4</w:t>
            </w:r>
          </w:p>
        </w:tc>
        <w:tc>
          <w:tcPr>
            <w:tcW w:w="2313"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母线槽、电线电缆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充电桩</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6</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智能电梯及传输系统</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7</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snapToGrid w:val="0"/>
                <w:color w:val="auto"/>
                <w:kern w:val="0"/>
                <w:sz w:val="24"/>
                <w:szCs w:val="24"/>
                <w:u w:val="none"/>
                <w:lang w:val="en-US" w:eastAsia="zh-CN" w:bidi="ar"/>
              </w:rPr>
            </w:pPr>
            <w:r>
              <w:rPr>
                <w:rFonts w:hint="eastAsia" w:ascii="宋体" w:hAnsi="宋体" w:eastAsia="宋体" w:cs="宋体"/>
                <w:i w:val="0"/>
                <w:snapToGrid w:val="0"/>
                <w:color w:val="auto"/>
                <w:kern w:val="0"/>
                <w:sz w:val="24"/>
                <w:szCs w:val="24"/>
                <w:u w:val="none"/>
                <w:lang w:val="en-US" w:eastAsia="zh-CN" w:bidi="ar"/>
              </w:rPr>
              <w:t>冷热源设备、</w:t>
            </w:r>
          </w:p>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空调新风设备</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8</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风机盘管、保温复核风管、防火排烟风管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9</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设备隔振降噪装置</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10</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其他机电材料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Q3总分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（填写Q3实际总得分）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室外工程用材Q4</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透水铺装材料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 xml:space="preserve"> </w:t>
            </w:r>
          </w:p>
        </w:tc>
        <w:tc>
          <w:tcPr>
            <w:tcW w:w="85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3"/>
                <w:szCs w:val="23"/>
                <w:u w:val="none"/>
              </w:rPr>
            </w:pPr>
            <w:r>
              <w:rPr>
                <w:rFonts w:hint="eastAsia" w:ascii="宋体" w:hAnsi="宋体" w:eastAsia="宋体" w:cs="宋体"/>
                <w:i w:val="0"/>
                <w:snapToGrid w:val="0"/>
                <w:color w:val="auto"/>
                <w:kern w:val="0"/>
                <w:sz w:val="23"/>
                <w:szCs w:val="23"/>
                <w:u w:val="none"/>
                <w:lang w:val="en-US" w:eastAsia="zh-CN" w:bidi="ar"/>
              </w:rPr>
              <w:t>Q7共3个二级指标，小计10分，二级指标不参评项分值计入Q5。</w:t>
            </w:r>
          </w:p>
        </w:tc>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2"/>
                <w:szCs w:val="22"/>
                <w:u w:val="none"/>
              </w:rPr>
            </w:pPr>
            <w:r>
              <w:rPr>
                <w:rFonts w:hint="eastAsia" w:ascii="宋体" w:hAnsi="宋体" w:eastAsia="宋体" w:cs="宋体"/>
                <w:b/>
                <w:i w:val="0"/>
                <w:snapToGrid w:val="0"/>
                <w:color w:val="auto"/>
                <w:kern w:val="0"/>
                <w:sz w:val="22"/>
                <w:szCs w:val="22"/>
                <w:u w:val="none"/>
                <w:lang w:val="en-US" w:eastAsia="zh-CN" w:bidi="ar"/>
              </w:rPr>
              <w:t>其他室外材料包含但不限于以下材料：</w:t>
            </w:r>
            <w:r>
              <w:rPr>
                <w:rStyle w:val="21"/>
                <w:rFonts w:hint="eastAsia" w:ascii="宋体" w:hAnsi="宋体" w:eastAsia="宋体" w:cs="宋体"/>
                <w:snapToGrid w:val="0"/>
                <w:color w:val="auto"/>
                <w:sz w:val="22"/>
                <w:szCs w:val="22"/>
                <w:u w:val="none"/>
                <w:lang w:val="en-US" w:eastAsia="zh-CN" w:bidi="ar"/>
              </w:rPr>
              <w:t>机械停车设备、雨水收集回用系统、建筑垃圾处置系统、园林用木竹材料、合成材料面层运动场地材料、渗管/渠、下沉式绿地材料、园林用石材等，每项</w:t>
            </w:r>
            <w:r>
              <w:rPr>
                <w:rFonts w:hint="eastAsia" w:ascii="宋体" w:hAnsi="宋体" w:eastAsia="宋体" w:cs="宋体"/>
                <w:i w:val="0"/>
                <w:snapToGrid w:val="0"/>
                <w:color w:val="auto"/>
                <w:kern w:val="0"/>
                <w:sz w:val="22"/>
                <w:szCs w:val="22"/>
                <w:u w:val="none"/>
                <w:lang w:val="en-US" w:eastAsia="zh-CN" w:bidi="ar"/>
              </w:rPr>
              <w:t>1</w:t>
            </w:r>
            <w:r>
              <w:rPr>
                <w:rStyle w:val="21"/>
                <w:rFonts w:hint="eastAsia" w:ascii="宋体" w:hAnsi="宋体" w:eastAsia="宋体" w:cs="宋体"/>
                <w:snapToGrid w:val="0"/>
                <w:color w:val="auto"/>
                <w:sz w:val="22"/>
                <w:szCs w:val="22"/>
                <w:u w:val="none"/>
                <w:lang w:val="en-US" w:eastAsia="zh-CN" w:bidi="ar"/>
              </w:rPr>
              <w:t>分，最多得</w:t>
            </w:r>
            <w:r>
              <w:rPr>
                <w:rFonts w:hint="eastAsia" w:ascii="宋体" w:hAnsi="宋体" w:eastAsia="宋体" w:cs="宋体"/>
                <w:i w:val="0"/>
                <w:snapToGrid w:val="0"/>
                <w:color w:val="auto"/>
                <w:kern w:val="0"/>
                <w:sz w:val="22"/>
                <w:szCs w:val="22"/>
                <w:u w:val="none"/>
                <w:lang w:val="en-US" w:eastAsia="zh-CN" w:bidi="ar"/>
              </w:rPr>
              <w:t xml:space="preserve"> 2</w:t>
            </w:r>
            <w:r>
              <w:rPr>
                <w:rStyle w:val="21"/>
                <w:rFonts w:hint="eastAsia" w:ascii="宋体" w:hAnsi="宋体" w:eastAsia="宋体" w:cs="宋体"/>
                <w:snapToGrid w:val="0"/>
                <w:color w:val="auto"/>
                <w:sz w:val="22"/>
                <w:szCs w:val="22"/>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snapToGrid w:val="0"/>
                <w:color w:val="auto"/>
                <w:kern w:val="0"/>
                <w:sz w:val="24"/>
                <w:szCs w:val="24"/>
                <w:u w:val="none"/>
                <w:lang w:val="en-US" w:eastAsia="zh-CN" w:bidi="ar"/>
              </w:rPr>
            </w:pPr>
            <w:r>
              <w:rPr>
                <w:rFonts w:hint="eastAsia" w:ascii="宋体" w:hAnsi="宋体" w:eastAsia="宋体" w:cs="宋体"/>
                <w:i w:val="0"/>
                <w:snapToGrid w:val="0"/>
                <w:color w:val="auto"/>
                <w:kern w:val="0"/>
                <w:sz w:val="24"/>
                <w:szCs w:val="24"/>
                <w:u w:val="none"/>
                <w:lang w:val="en-US" w:eastAsia="zh-CN" w:bidi="ar"/>
              </w:rPr>
              <w:t>屋面（垂直）</w:t>
            </w:r>
          </w:p>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绿化材料</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5" w:hRule="atLeast"/>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3</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其他室外材料</w:t>
            </w:r>
            <w:r>
              <w:rPr>
                <w:rFonts w:hint="eastAsia" w:ascii="宋体" w:hAnsi="宋体" w:eastAsia="宋体" w:cs="宋体"/>
                <w:i w:val="0"/>
                <w:snapToGrid w:val="0"/>
                <w:color w:val="auto"/>
                <w:kern w:val="0"/>
                <w:sz w:val="24"/>
                <w:szCs w:val="24"/>
                <w:u w:val="none"/>
                <w:lang w:val="en-US" w:eastAsia="zh-CN" w:bidi="ar"/>
              </w:rPr>
              <w:br w:type="textWrapping"/>
            </w:r>
            <w:r>
              <w:rPr>
                <w:rFonts w:hint="eastAsia" w:ascii="宋体" w:hAnsi="宋体" w:eastAsia="宋体" w:cs="宋体"/>
                <w:i w:val="0"/>
                <w:snapToGrid w:val="0"/>
                <w:color w:val="auto"/>
                <w:kern w:val="0"/>
                <w:sz w:val="24"/>
                <w:szCs w:val="24"/>
                <w:u w:val="none"/>
                <w:lang w:val="en-US" w:eastAsia="zh-CN" w:bidi="ar"/>
              </w:rPr>
              <w:t>（从备注内选择）</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2</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p>
        </w:tc>
        <w:tc>
          <w:tcPr>
            <w:tcW w:w="85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Q4总分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5</w:t>
            </w: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（填写Q4实际总得分）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3"/>
                <w:szCs w:val="2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7"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Q5总分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snapToGrid w:val="0"/>
                <w:color w:val="auto"/>
                <w:kern w:val="0"/>
                <w:sz w:val="24"/>
                <w:szCs w:val="24"/>
                <w:u w:val="none"/>
                <w:lang w:val="en-US" w:eastAsia="zh-CN" w:bidi="ar"/>
              </w:rPr>
              <w:t>不参评项总和分值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i w:val="0"/>
                <w:color w:val="auto"/>
                <w:sz w:val="24"/>
                <w:szCs w:val="24"/>
                <w:u w:val="none"/>
              </w:rPr>
            </w:pP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（填写所有不参评项对应二级指标的总分值）</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3"/>
                <w:szCs w:val="23"/>
                <w:u w:val="none"/>
              </w:rPr>
            </w:pPr>
            <w:r>
              <w:rPr>
                <w:rFonts w:hint="eastAsia" w:ascii="宋体" w:hAnsi="宋体" w:eastAsia="宋体" w:cs="宋体"/>
                <w:i w:val="0"/>
                <w:snapToGrid w:val="0"/>
                <w:color w:val="auto"/>
                <w:kern w:val="0"/>
                <w:sz w:val="23"/>
                <w:szCs w:val="23"/>
                <w:u w:val="none"/>
                <w:lang w:val="en-US" w:eastAsia="zh-CN" w:bidi="ar"/>
              </w:rPr>
              <w:t>项目工程内不含的二级指标。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0" w:hRule="atLeast"/>
        </w:trPr>
        <w:tc>
          <w:tcPr>
            <w:tcW w:w="65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绿色建材应用比例P</w:t>
            </w:r>
          </w:p>
        </w:tc>
        <w:tc>
          <w:tcPr>
            <w:tcW w:w="43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（填写最终比例计算结果）</w:t>
            </w:r>
          </w:p>
        </w:tc>
        <w:tc>
          <w:tcPr>
            <w:tcW w:w="34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i w:val="0"/>
                <w:color w:val="auto"/>
                <w:sz w:val="23"/>
                <w:szCs w:val="23"/>
                <w:u w:val="none"/>
              </w:rPr>
            </w:pPr>
            <w:r>
              <w:rPr>
                <w:rFonts w:hint="eastAsia" w:ascii="宋体" w:hAnsi="宋体" w:eastAsia="宋体" w:cs="宋体"/>
                <w:i w:val="0"/>
                <w:snapToGrid w:val="0"/>
                <w:color w:val="auto"/>
                <w:kern w:val="0"/>
                <w:sz w:val="23"/>
                <w:szCs w:val="23"/>
                <w:u w:val="none"/>
                <w:lang w:val="en-US" w:eastAsia="zh-CN" w:bidi="ar"/>
              </w:rPr>
              <w:t>计算方法：P=(Q1+Q2+Q3+Q4)/(100-Q5)*100%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 w:hRule="atLeast"/>
        </w:trPr>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核算成员</w:t>
            </w:r>
          </w:p>
        </w:tc>
        <w:tc>
          <w:tcPr>
            <w:tcW w:w="1218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6" w:hRule="atLeast"/>
        </w:trPr>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jc w:val="both"/>
              <w:textAlignment w:val="center"/>
              <w:rPr>
                <w:rFonts w:hint="eastAsia" w:ascii="宋体" w:hAnsi="宋体" w:eastAsia="宋体" w:cs="宋体"/>
                <w:b/>
                <w:i w:val="0"/>
                <w:color w:val="auto"/>
                <w:sz w:val="24"/>
                <w:szCs w:val="24"/>
                <w:u w:val="none"/>
              </w:rPr>
            </w:pPr>
            <w:r>
              <w:rPr>
                <w:rFonts w:hint="eastAsia" w:ascii="宋体" w:hAnsi="宋体" w:eastAsia="宋体" w:cs="宋体"/>
                <w:b/>
                <w:i w:val="0"/>
                <w:snapToGrid w:val="0"/>
                <w:color w:val="auto"/>
                <w:kern w:val="0"/>
                <w:sz w:val="24"/>
                <w:szCs w:val="24"/>
                <w:u w:val="none"/>
                <w:lang w:val="en-US" w:eastAsia="zh-CN" w:bidi="ar"/>
              </w:rPr>
              <w:t>核算单位</w:t>
            </w:r>
          </w:p>
        </w:tc>
        <w:tc>
          <w:tcPr>
            <w:tcW w:w="1218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both"/>
              <w:rPr>
                <w:rFonts w:hint="eastAsia" w:ascii="宋体" w:hAnsi="宋体" w:eastAsia="宋体" w:cs="宋体"/>
                <w:b/>
                <w:i w:val="0"/>
                <w:color w:val="auto"/>
                <w:sz w:val="24"/>
                <w:szCs w:val="24"/>
                <w:u w:val="none"/>
              </w:rPr>
            </w:pPr>
          </w:p>
        </w:tc>
      </w:tr>
    </w:tbl>
    <w:p>
      <w:pPr>
        <w:keepNext w:val="0"/>
        <w:keepLines w:val="0"/>
        <w:pageBreakBefore w:val="0"/>
        <w:kinsoku/>
        <w:wordWrap/>
        <w:overflowPunct/>
        <w:topLinePunct w:val="0"/>
        <w:autoSpaceDE w:val="0"/>
        <w:autoSpaceDN w:val="0"/>
        <w:bidi w:val="0"/>
        <w:jc w:val="both"/>
        <w:rPr>
          <w:rFonts w:hint="eastAsia" w:ascii="宋体" w:hAnsi="宋体" w:eastAsia="宋体" w:cs="宋体"/>
          <w:color w:val="auto"/>
          <w:u w:val="none"/>
          <w:lang w:eastAsia="zh-CN"/>
        </w:rPr>
      </w:pPr>
      <w:r>
        <w:rPr>
          <w:rFonts w:hint="eastAsia" w:ascii="宋体" w:hAnsi="宋体" w:eastAsia="宋体" w:cs="宋体"/>
          <w:color w:val="auto"/>
          <w:u w:val="none"/>
          <w:lang w:eastAsia="zh-CN"/>
        </w:rPr>
        <w:t>注：</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1 按《福州市绿色建材应用比例计算技术细则》表 3.2 的要求，分别计算4类核算指标绿色建材应用比例计算分值；</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2 当某项目为多栋建筑构成，按栋的编号分别列出；</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sectPr>
          <w:footerReference r:id="rId9" w:type="default"/>
          <w:pgSz w:w="16839" w:h="11907" w:orient="landscape"/>
          <w:pgMar w:top="1670" w:right="1431" w:bottom="1785" w:left="1283" w:header="0" w:footer="1106" w:gutter="0"/>
          <w:pgNumType w:fmt="decimal"/>
          <w:cols w:space="720" w:num="1"/>
          <w:docGrid w:linePitch="286" w:charSpace="0"/>
        </w:sectPr>
      </w:pPr>
      <w:r>
        <w:rPr>
          <w:rFonts w:hint="eastAsia" w:ascii="宋体" w:hAnsi="宋体" w:eastAsia="宋体" w:cs="宋体"/>
          <w:color w:val="auto"/>
          <w:lang w:eastAsia="zh-CN"/>
        </w:rPr>
        <w:t>3 如有项目工程内不含的二级指标，于是否不参评中画○，并于Q5总分中统计出不参评项总和分值；</w:t>
      </w:r>
    </w:p>
    <w:p>
      <w:pPr>
        <w:keepNext w:val="0"/>
        <w:keepLines w:val="0"/>
        <w:pageBreakBefore w:val="0"/>
        <w:kinsoku/>
        <w:wordWrap/>
        <w:overflowPunct/>
        <w:topLinePunct w:val="0"/>
        <w:autoSpaceDE w:val="0"/>
        <w:autoSpaceDN w:val="0"/>
        <w:bidi w:val="0"/>
        <w:spacing w:line="227" w:lineRule="auto"/>
        <w:ind w:left="138"/>
        <w:jc w:val="both"/>
        <w:rPr>
          <w:rFonts w:hint="eastAsia" w:ascii="宋体" w:hAnsi="宋体" w:eastAsia="宋体" w:cs="宋体"/>
          <w:color w:val="auto"/>
          <w:sz w:val="31"/>
          <w:szCs w:val="31"/>
          <w:lang w:eastAsia="zh-CN"/>
        </w:rPr>
      </w:pPr>
      <w:r>
        <w:rPr>
          <w:rFonts w:hint="eastAsia" w:ascii="宋体" w:hAnsi="宋体" w:eastAsia="宋体" w:cs="宋体"/>
          <w:color w:val="auto"/>
          <w:spacing w:val="8"/>
          <w:sz w:val="31"/>
          <w:szCs w:val="31"/>
          <w:lang w:eastAsia="zh-CN"/>
        </w:rPr>
        <w:t>四、现场抽查核验佐证材料</w:t>
      </w:r>
    </w:p>
    <w:p>
      <w:pPr>
        <w:keepNext w:val="0"/>
        <w:keepLines w:val="0"/>
        <w:pageBreakBefore w:val="0"/>
        <w:kinsoku/>
        <w:wordWrap/>
        <w:overflowPunct/>
        <w:topLinePunct w:val="0"/>
        <w:autoSpaceDE w:val="0"/>
        <w:autoSpaceDN w:val="0"/>
        <w:bidi w:val="0"/>
        <w:spacing w:before="263" w:line="624" w:lineRule="exact"/>
        <w:ind w:right="14"/>
        <w:jc w:val="both"/>
        <w:rPr>
          <w:rFonts w:hint="eastAsia" w:ascii="宋体" w:hAnsi="宋体" w:eastAsia="宋体" w:cs="宋体"/>
          <w:color w:val="auto"/>
          <w:sz w:val="28"/>
          <w:szCs w:val="28"/>
          <w:lang w:eastAsia="zh-CN"/>
        </w:rPr>
      </w:pPr>
      <w:r>
        <w:rPr>
          <w:rFonts w:hint="eastAsia" w:ascii="宋体" w:hAnsi="宋体" w:eastAsia="宋体" w:cs="宋体"/>
          <w:color w:val="auto"/>
          <w:spacing w:val="-6"/>
          <w:position w:val="26"/>
          <w:sz w:val="28"/>
          <w:szCs w:val="28"/>
          <w:lang w:eastAsia="zh-CN"/>
        </w:rPr>
        <w:t>注：</w:t>
      </w:r>
      <w:r>
        <w:rPr>
          <w:rFonts w:hint="eastAsia" w:ascii="宋体" w:hAnsi="宋体" w:eastAsia="宋体" w:cs="宋体"/>
          <w:color w:val="auto"/>
          <w:spacing w:val="-59"/>
          <w:position w:val="26"/>
          <w:sz w:val="28"/>
          <w:szCs w:val="28"/>
          <w:lang w:eastAsia="zh-CN"/>
        </w:rPr>
        <w:t xml:space="preserve"> </w:t>
      </w:r>
      <w:r>
        <w:rPr>
          <w:rFonts w:hint="eastAsia" w:ascii="宋体" w:hAnsi="宋体" w:eastAsia="宋体" w:cs="宋体"/>
          <w:color w:val="auto"/>
          <w:spacing w:val="-6"/>
          <w:position w:val="26"/>
          <w:sz w:val="28"/>
          <w:szCs w:val="28"/>
          <w:lang w:eastAsia="zh-CN"/>
        </w:rPr>
        <w:t>核算单位需附上对现场抽查核验佐证材料，如现</w:t>
      </w:r>
      <w:r>
        <w:rPr>
          <w:rFonts w:hint="eastAsia" w:ascii="宋体" w:hAnsi="宋体" w:eastAsia="宋体" w:cs="宋体"/>
          <w:color w:val="auto"/>
          <w:spacing w:val="-7"/>
          <w:position w:val="26"/>
          <w:sz w:val="28"/>
          <w:szCs w:val="28"/>
          <w:lang w:eastAsia="zh-CN"/>
        </w:rPr>
        <w:t>场照片、现场核</w:t>
      </w:r>
    </w:p>
    <w:p>
      <w:pPr>
        <w:keepNext w:val="0"/>
        <w:keepLines w:val="0"/>
        <w:pageBreakBefore w:val="0"/>
        <w:kinsoku/>
        <w:wordWrap/>
        <w:overflowPunct/>
        <w:topLinePunct w:val="0"/>
        <w:autoSpaceDE w:val="0"/>
        <w:autoSpaceDN w:val="0"/>
        <w:bidi w:val="0"/>
        <w:spacing w:before="1" w:line="220" w:lineRule="auto"/>
        <w:ind w:left="131"/>
        <w:jc w:val="both"/>
        <w:rPr>
          <w:rFonts w:hint="eastAsia" w:ascii="宋体" w:hAnsi="宋体" w:eastAsia="宋体" w:cs="宋体"/>
          <w:color w:val="auto"/>
          <w:spacing w:val="-6"/>
          <w:sz w:val="28"/>
          <w:szCs w:val="28"/>
        </w:rPr>
      </w:pPr>
      <w:r>
        <w:rPr>
          <w:rFonts w:hint="eastAsia" w:ascii="宋体" w:hAnsi="宋体" w:eastAsia="宋体" w:cs="宋体"/>
          <w:color w:val="auto"/>
          <w:spacing w:val="-6"/>
          <w:sz w:val="28"/>
          <w:szCs w:val="28"/>
        </w:rPr>
        <w:t>查记录文档等。</w:t>
      </w:r>
    </w:p>
    <w:p>
      <w:pPr>
        <w:keepNext w:val="0"/>
        <w:keepLines w:val="0"/>
        <w:pageBreakBefore w:val="0"/>
        <w:kinsoku/>
        <w:wordWrap/>
        <w:overflowPunct/>
        <w:topLinePunct w:val="0"/>
        <w:autoSpaceDE w:val="0"/>
        <w:autoSpaceDN w:val="0"/>
        <w:bidi w:val="0"/>
        <w:spacing w:before="1" w:line="220" w:lineRule="auto"/>
        <w:jc w:val="both"/>
        <w:rPr>
          <w:rFonts w:hint="eastAsia" w:ascii="宋体" w:hAnsi="宋体" w:eastAsia="宋体" w:cs="宋体"/>
          <w:color w:val="auto"/>
          <w:spacing w:val="-6"/>
          <w:sz w:val="28"/>
          <w:szCs w:val="28"/>
          <w:lang w:eastAsia="zh-CN"/>
        </w:rPr>
      </w:pPr>
    </w:p>
    <w:sectPr>
      <w:footerReference r:id="rId10" w:type="default"/>
      <w:pgSz w:w="11907" w:h="16839"/>
      <w:pgMar w:top="1431" w:right="1785" w:bottom="1282" w:left="1682" w:header="0" w:footer="110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33"/>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143"/>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4232"/>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4244"/>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143"/>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13</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F36A0E"/>
    <w:multiLevelType w:val="multilevel"/>
    <w:tmpl w:val="63F36A0E"/>
    <w:lvl w:ilvl="0" w:tentative="0">
      <w:start w:val="1"/>
      <w:numFmt w:val="decimal"/>
      <w:suff w:val="space"/>
      <w:lvlText w:val="%1"/>
      <w:lvlJc w:val="left"/>
      <w:pPr>
        <w:tabs>
          <w:tab w:val="left" w:pos="420"/>
        </w:tabs>
        <w:ind w:left="425" w:hanging="425"/>
      </w:pPr>
      <w:rPr>
        <w:rFonts w:hint="default"/>
        <w:sz w:val="32"/>
        <w:szCs w:val="32"/>
      </w:rPr>
    </w:lvl>
    <w:lvl w:ilvl="1" w:tentative="0">
      <w:start w:val="1"/>
      <w:numFmt w:val="decimal"/>
      <w:lvlText w:val="%1.%2"/>
      <w:lvlJc w:val="left"/>
      <w:pPr>
        <w:ind w:left="992" w:hanging="567"/>
      </w:pPr>
      <w:rPr>
        <w:rFonts w:hint="eastAsia"/>
      </w:rPr>
    </w:lvl>
    <w:lvl w:ilvl="2" w:tentative="0">
      <w:start w:val="1"/>
      <w:numFmt w:val="decimal"/>
      <w:lvlText w:val="%1.%2.%3"/>
      <w:lvlJc w:val="left"/>
      <w:pPr>
        <w:ind w:left="567" w:hanging="567"/>
      </w:pPr>
      <w:rPr>
        <w:rFonts w:hint="default" w:ascii="Times New Roman" w:hAnsi="Times New Roman" w:cs="Times New Roman"/>
        <w:b/>
        <w:sz w:val="28"/>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displayBackgroundShape w:val="true"/>
  <w:bordersDoNotSurroundHeader w:val="false"/>
  <w:bordersDoNotSurroundFooter w:val="false"/>
  <w:documentProtection w:enforcement="0"/>
  <w:defaultTabStop w:val="420"/>
  <w:displayHorizontalDrawingGridEvery w:val="1"/>
  <w:displayVerticalDrawingGridEvery w:val="1"/>
  <w:characterSpacingControl w:val="compressPunctuation"/>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C34B54"/>
    <w:rsid w:val="000B6281"/>
    <w:rsid w:val="002740E8"/>
    <w:rsid w:val="0045380D"/>
    <w:rsid w:val="0075757F"/>
    <w:rsid w:val="00781BC1"/>
    <w:rsid w:val="008074E6"/>
    <w:rsid w:val="008469D6"/>
    <w:rsid w:val="0087219B"/>
    <w:rsid w:val="00BE1AA8"/>
    <w:rsid w:val="00C34B54"/>
    <w:rsid w:val="00E9540D"/>
    <w:rsid w:val="01136B84"/>
    <w:rsid w:val="015C147B"/>
    <w:rsid w:val="018B18D9"/>
    <w:rsid w:val="020B07BA"/>
    <w:rsid w:val="02A0095B"/>
    <w:rsid w:val="02BA7C97"/>
    <w:rsid w:val="030D40B5"/>
    <w:rsid w:val="033149E3"/>
    <w:rsid w:val="03F24A85"/>
    <w:rsid w:val="04EE471D"/>
    <w:rsid w:val="0585669F"/>
    <w:rsid w:val="059A670B"/>
    <w:rsid w:val="05E957FE"/>
    <w:rsid w:val="06292D3A"/>
    <w:rsid w:val="075671B9"/>
    <w:rsid w:val="080111AF"/>
    <w:rsid w:val="08A57308"/>
    <w:rsid w:val="08E353A5"/>
    <w:rsid w:val="09483348"/>
    <w:rsid w:val="0A8D39DF"/>
    <w:rsid w:val="0B0178F6"/>
    <w:rsid w:val="0B49678C"/>
    <w:rsid w:val="0B8F6A85"/>
    <w:rsid w:val="0B9A5427"/>
    <w:rsid w:val="0BE34045"/>
    <w:rsid w:val="0C7F5421"/>
    <w:rsid w:val="105A40DF"/>
    <w:rsid w:val="10F53135"/>
    <w:rsid w:val="1266243F"/>
    <w:rsid w:val="12A74FA9"/>
    <w:rsid w:val="13954D05"/>
    <w:rsid w:val="151C0EDC"/>
    <w:rsid w:val="15571963"/>
    <w:rsid w:val="178B52CC"/>
    <w:rsid w:val="17C56E8B"/>
    <w:rsid w:val="18550677"/>
    <w:rsid w:val="186B125E"/>
    <w:rsid w:val="1888330E"/>
    <w:rsid w:val="196333F0"/>
    <w:rsid w:val="19E10C74"/>
    <w:rsid w:val="1A9D7FC6"/>
    <w:rsid w:val="1BBC447B"/>
    <w:rsid w:val="1D6373FA"/>
    <w:rsid w:val="1D8315F9"/>
    <w:rsid w:val="1DAA72BB"/>
    <w:rsid w:val="1E400417"/>
    <w:rsid w:val="1EC21E9F"/>
    <w:rsid w:val="1F310490"/>
    <w:rsid w:val="20A07065"/>
    <w:rsid w:val="20B63B8F"/>
    <w:rsid w:val="21DB209F"/>
    <w:rsid w:val="21F3594B"/>
    <w:rsid w:val="226032AC"/>
    <w:rsid w:val="22F205D0"/>
    <w:rsid w:val="23121D9C"/>
    <w:rsid w:val="23A23767"/>
    <w:rsid w:val="25E64DE4"/>
    <w:rsid w:val="25F05E4A"/>
    <w:rsid w:val="2603000C"/>
    <w:rsid w:val="27065777"/>
    <w:rsid w:val="2737233D"/>
    <w:rsid w:val="273A7298"/>
    <w:rsid w:val="274534B4"/>
    <w:rsid w:val="27E532D7"/>
    <w:rsid w:val="280417CC"/>
    <w:rsid w:val="286A4DCE"/>
    <w:rsid w:val="288E3024"/>
    <w:rsid w:val="28D4148C"/>
    <w:rsid w:val="29D5322D"/>
    <w:rsid w:val="29EE3235"/>
    <w:rsid w:val="2A87F71D"/>
    <w:rsid w:val="2AB53FBE"/>
    <w:rsid w:val="2B347BB3"/>
    <w:rsid w:val="2B514BE0"/>
    <w:rsid w:val="2B62753C"/>
    <w:rsid w:val="2B896943"/>
    <w:rsid w:val="2BFE71F2"/>
    <w:rsid w:val="2C542347"/>
    <w:rsid w:val="2CD10A17"/>
    <w:rsid w:val="2CD825A0"/>
    <w:rsid w:val="2D05762B"/>
    <w:rsid w:val="2D530D9B"/>
    <w:rsid w:val="2D7357F1"/>
    <w:rsid w:val="2E6A74B4"/>
    <w:rsid w:val="2F516A14"/>
    <w:rsid w:val="2FBA53F0"/>
    <w:rsid w:val="2FC83A2A"/>
    <w:rsid w:val="313241EA"/>
    <w:rsid w:val="316E4C15"/>
    <w:rsid w:val="321205F3"/>
    <w:rsid w:val="326E2844"/>
    <w:rsid w:val="3282156C"/>
    <w:rsid w:val="33F75B58"/>
    <w:rsid w:val="34CE3C3D"/>
    <w:rsid w:val="34F67C47"/>
    <w:rsid w:val="35091619"/>
    <w:rsid w:val="36F7CB6A"/>
    <w:rsid w:val="372461CB"/>
    <w:rsid w:val="38E1563E"/>
    <w:rsid w:val="398700A2"/>
    <w:rsid w:val="3A35598B"/>
    <w:rsid w:val="3A55564C"/>
    <w:rsid w:val="3B677E60"/>
    <w:rsid w:val="3BFE7AEE"/>
    <w:rsid w:val="3C7671BF"/>
    <w:rsid w:val="3D0C4E0B"/>
    <w:rsid w:val="3F1C292D"/>
    <w:rsid w:val="3F300757"/>
    <w:rsid w:val="3FFC1285"/>
    <w:rsid w:val="403C65F0"/>
    <w:rsid w:val="40A7118E"/>
    <w:rsid w:val="40BA6EBE"/>
    <w:rsid w:val="41342DB2"/>
    <w:rsid w:val="41D4776D"/>
    <w:rsid w:val="42187DAE"/>
    <w:rsid w:val="4326403A"/>
    <w:rsid w:val="43916667"/>
    <w:rsid w:val="44F03FFC"/>
    <w:rsid w:val="45516648"/>
    <w:rsid w:val="45CD3536"/>
    <w:rsid w:val="46124697"/>
    <w:rsid w:val="46D66444"/>
    <w:rsid w:val="46F337F6"/>
    <w:rsid w:val="46F37C0D"/>
    <w:rsid w:val="47325F18"/>
    <w:rsid w:val="478E60F9"/>
    <w:rsid w:val="47FD9934"/>
    <w:rsid w:val="487B6F86"/>
    <w:rsid w:val="48957225"/>
    <w:rsid w:val="48BC184C"/>
    <w:rsid w:val="48FD5A04"/>
    <w:rsid w:val="499E1734"/>
    <w:rsid w:val="4A34297F"/>
    <w:rsid w:val="4ABE12AD"/>
    <w:rsid w:val="4C7B329C"/>
    <w:rsid w:val="4CCE4C0C"/>
    <w:rsid w:val="4D306BCC"/>
    <w:rsid w:val="4D5F2D35"/>
    <w:rsid w:val="4DCD0C73"/>
    <w:rsid w:val="4E383B6D"/>
    <w:rsid w:val="4E573A0C"/>
    <w:rsid w:val="4E7B7B51"/>
    <w:rsid w:val="4F41297E"/>
    <w:rsid w:val="4FCB2831"/>
    <w:rsid w:val="4FCC50D2"/>
    <w:rsid w:val="50AB1369"/>
    <w:rsid w:val="51357C48"/>
    <w:rsid w:val="520A2948"/>
    <w:rsid w:val="52E05D65"/>
    <w:rsid w:val="53A56C8F"/>
    <w:rsid w:val="543150DE"/>
    <w:rsid w:val="545D4B40"/>
    <w:rsid w:val="54DC1A1F"/>
    <w:rsid w:val="56792DB1"/>
    <w:rsid w:val="56890F7D"/>
    <w:rsid w:val="57B04FE9"/>
    <w:rsid w:val="585F2D98"/>
    <w:rsid w:val="58E7636A"/>
    <w:rsid w:val="58F52267"/>
    <w:rsid w:val="59796D03"/>
    <w:rsid w:val="597B335B"/>
    <w:rsid w:val="59893290"/>
    <w:rsid w:val="59A46F5E"/>
    <w:rsid w:val="59D60DBA"/>
    <w:rsid w:val="5BF5046A"/>
    <w:rsid w:val="5C2E7EE4"/>
    <w:rsid w:val="5CF608E0"/>
    <w:rsid w:val="5D1D590D"/>
    <w:rsid w:val="5D250D0E"/>
    <w:rsid w:val="5D383943"/>
    <w:rsid w:val="5D7D275F"/>
    <w:rsid w:val="5DD15589"/>
    <w:rsid w:val="5E3E4C2D"/>
    <w:rsid w:val="5F0A47F6"/>
    <w:rsid w:val="610A4260"/>
    <w:rsid w:val="610D26BD"/>
    <w:rsid w:val="62012FA3"/>
    <w:rsid w:val="63405054"/>
    <w:rsid w:val="63631538"/>
    <w:rsid w:val="64C01EB3"/>
    <w:rsid w:val="665F3603"/>
    <w:rsid w:val="677E211D"/>
    <w:rsid w:val="67C055B3"/>
    <w:rsid w:val="67EB1550"/>
    <w:rsid w:val="67FA7C22"/>
    <w:rsid w:val="69020CEC"/>
    <w:rsid w:val="699B09AA"/>
    <w:rsid w:val="69E36748"/>
    <w:rsid w:val="6A713A2E"/>
    <w:rsid w:val="6A962AC7"/>
    <w:rsid w:val="6ACA799B"/>
    <w:rsid w:val="6B4A4D27"/>
    <w:rsid w:val="6C954CDC"/>
    <w:rsid w:val="6D0F6129"/>
    <w:rsid w:val="6E075DC7"/>
    <w:rsid w:val="6E567DF6"/>
    <w:rsid w:val="6E925E48"/>
    <w:rsid w:val="6F366003"/>
    <w:rsid w:val="70E91006"/>
    <w:rsid w:val="71263532"/>
    <w:rsid w:val="720132A4"/>
    <w:rsid w:val="722A14D2"/>
    <w:rsid w:val="72333E95"/>
    <w:rsid w:val="72CB1AD5"/>
    <w:rsid w:val="72F45718"/>
    <w:rsid w:val="740A456F"/>
    <w:rsid w:val="74497082"/>
    <w:rsid w:val="762B0DFA"/>
    <w:rsid w:val="763806DB"/>
    <w:rsid w:val="76D4225A"/>
    <w:rsid w:val="76E50080"/>
    <w:rsid w:val="76F61CB0"/>
    <w:rsid w:val="77B70281"/>
    <w:rsid w:val="77EA0493"/>
    <w:rsid w:val="77FC3F8C"/>
    <w:rsid w:val="781D6AFB"/>
    <w:rsid w:val="78815F87"/>
    <w:rsid w:val="78B41BB4"/>
    <w:rsid w:val="799D05BD"/>
    <w:rsid w:val="79C5639A"/>
    <w:rsid w:val="79D67981"/>
    <w:rsid w:val="7A514350"/>
    <w:rsid w:val="7AC46E76"/>
    <w:rsid w:val="7AC77DFB"/>
    <w:rsid w:val="7B371820"/>
    <w:rsid w:val="7C230A06"/>
    <w:rsid w:val="7C25575E"/>
    <w:rsid w:val="7CD57775"/>
    <w:rsid w:val="7D391DFD"/>
    <w:rsid w:val="7E172855"/>
    <w:rsid w:val="7F2173FC"/>
    <w:rsid w:val="7FFFDA6B"/>
    <w:rsid w:val="FFF7C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360" w:lineRule="auto"/>
      <w:textAlignment w:val="baseline"/>
    </w:pPr>
    <w:rPr>
      <w:rFonts w:ascii="Times New Roman" w:hAnsi="Times New Roman" w:eastAsia="宋体" w:cs="Arial"/>
      <w:snapToGrid w:val="0"/>
      <w:color w:val="000000"/>
      <w:sz w:val="28"/>
      <w:szCs w:val="21"/>
      <w:lang w:val="en-US" w:eastAsia="en-US" w:bidi="ar-SA"/>
    </w:rPr>
  </w:style>
  <w:style w:type="paragraph" w:styleId="4">
    <w:name w:val="heading 1"/>
    <w:basedOn w:val="1"/>
    <w:next w:val="1"/>
    <w:qFormat/>
    <w:uiPriority w:val="0"/>
    <w:pPr>
      <w:adjustRightInd/>
      <w:spacing w:before="100" w:beforeLines="100" w:after="100" w:afterLines="100"/>
      <w:jc w:val="center"/>
      <w:outlineLvl w:val="0"/>
    </w:pPr>
    <w:rPr>
      <w:rFonts w:ascii="Times New Roman" w:hAnsi="Times New Roman"/>
      <w:b/>
      <w:sz w:val="32"/>
      <w:szCs w:val="2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8">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qFormat/>
    <w:uiPriority w:val="99"/>
    <w:pPr>
      <w:spacing w:line="240" w:lineRule="auto"/>
    </w:pPr>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9">
    <w:name w:val="annotation text"/>
    <w:basedOn w:val="1"/>
    <w:qFormat/>
    <w:uiPriority w:val="0"/>
    <w:pPr>
      <w:jc w:val="left"/>
    </w:pPr>
  </w:style>
  <w:style w:type="paragraph" w:styleId="10">
    <w:name w:val="Body Text"/>
    <w:basedOn w:val="1"/>
    <w:semiHidden/>
    <w:qFormat/>
    <w:uiPriority w:val="0"/>
  </w:style>
  <w:style w:type="paragraph" w:styleId="11">
    <w:name w:val="footer"/>
    <w:basedOn w:val="1"/>
    <w:link w:val="19"/>
    <w:qFormat/>
    <w:uiPriority w:val="0"/>
    <w:pPr>
      <w:tabs>
        <w:tab w:val="center" w:pos="4153"/>
        <w:tab w:val="right" w:pos="8306"/>
      </w:tabs>
    </w:pPr>
    <w:rPr>
      <w:sz w:val="18"/>
      <w:szCs w:val="18"/>
    </w:rPr>
  </w:style>
  <w:style w:type="paragraph" w:styleId="12">
    <w:name w:val="header"/>
    <w:basedOn w:val="1"/>
    <w:link w:val="18"/>
    <w:qFormat/>
    <w:uiPriority w:val="0"/>
    <w:pPr>
      <w:tabs>
        <w:tab w:val="center" w:pos="4153"/>
        <w:tab w:val="right" w:pos="8306"/>
      </w:tabs>
      <w:jc w:val="center"/>
    </w:pPr>
    <w:rPr>
      <w:sz w:val="18"/>
      <w:szCs w:val="18"/>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style>
  <w:style w:type="character" w:customStyle="1" w:styleId="18">
    <w:name w:val="页眉 字符"/>
    <w:basedOn w:val="15"/>
    <w:link w:val="12"/>
    <w:qFormat/>
    <w:uiPriority w:val="0"/>
    <w:rPr>
      <w:rFonts w:eastAsia="Arial"/>
      <w:snapToGrid w:val="0"/>
      <w:color w:val="000000"/>
      <w:sz w:val="18"/>
      <w:szCs w:val="18"/>
      <w:lang w:eastAsia="en-US"/>
    </w:rPr>
  </w:style>
  <w:style w:type="character" w:customStyle="1" w:styleId="19">
    <w:name w:val="页脚 字符"/>
    <w:basedOn w:val="15"/>
    <w:link w:val="11"/>
    <w:qFormat/>
    <w:uiPriority w:val="0"/>
    <w:rPr>
      <w:rFonts w:eastAsia="Arial"/>
      <w:snapToGrid w:val="0"/>
      <w:color w:val="000000"/>
      <w:sz w:val="18"/>
      <w:szCs w:val="18"/>
      <w:lang w:eastAsia="en-US"/>
    </w:rPr>
  </w:style>
  <w:style w:type="character" w:customStyle="1" w:styleId="20">
    <w:name w:val="font51"/>
    <w:basedOn w:val="15"/>
    <w:qFormat/>
    <w:uiPriority w:val="0"/>
    <w:rPr>
      <w:rFonts w:hint="eastAsia" w:ascii="宋体" w:hAnsi="宋体" w:eastAsia="宋体" w:cs="宋体"/>
      <w:b/>
      <w:color w:val="FF0000"/>
      <w:sz w:val="22"/>
      <w:szCs w:val="22"/>
      <w:u w:val="none"/>
    </w:rPr>
  </w:style>
  <w:style w:type="character" w:customStyle="1" w:styleId="21">
    <w:name w:val="font71"/>
    <w:basedOn w:val="15"/>
    <w:qFormat/>
    <w:uiPriority w:val="0"/>
    <w:rPr>
      <w:rFonts w:hint="eastAsia" w:ascii="宋体" w:hAnsi="宋体" w:eastAsia="宋体" w:cs="宋体"/>
      <w:color w:val="000000"/>
      <w:sz w:val="22"/>
      <w:szCs w:val="22"/>
      <w:u w:val="none"/>
    </w:rPr>
  </w:style>
  <w:style w:type="character" w:customStyle="1" w:styleId="22">
    <w:name w:val="font01"/>
    <w:basedOn w:val="15"/>
    <w:qFormat/>
    <w:uiPriority w:val="0"/>
    <w:rPr>
      <w:rFonts w:hint="eastAsia" w:ascii="宋体" w:hAnsi="宋体" w:eastAsia="宋体" w:cs="宋体"/>
      <w:color w:val="000000"/>
      <w:sz w:val="22"/>
      <w:szCs w:val="22"/>
      <w:u w:val="none"/>
    </w:rPr>
  </w:style>
  <w:style w:type="character" w:customStyle="1" w:styleId="23">
    <w:name w:val="font111"/>
    <w:basedOn w:val="15"/>
    <w:qFormat/>
    <w:uiPriority w:val="0"/>
    <w:rPr>
      <w:rFonts w:hint="eastAsia" w:ascii="宋体" w:hAnsi="宋体" w:eastAsia="宋体" w:cs="宋体"/>
      <w:color w:val="000000"/>
      <w:sz w:val="22"/>
      <w:szCs w:val="22"/>
      <w:u w:val="none"/>
    </w:rPr>
  </w:style>
  <w:style w:type="character" w:customStyle="1" w:styleId="24">
    <w:name w:val="font4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5974</Words>
  <Characters>6362</Characters>
  <Lines>38</Lines>
  <Paragraphs>10</Paragraphs>
  <TotalTime>0</TotalTime>
  <ScaleCrop>false</ScaleCrop>
  <LinksUpToDate>false</LinksUpToDate>
  <CharactersWithSpaces>6509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2021-10-12T15:49:00Z</dcterms:created>
  <dc:creator>china</dc:creator>
  <cp:lastModifiedBy>uos</cp:lastModifiedBy>
  <cp:lastPrinted>2024-01-13T01:16:00Z</cp:lastPrinted>
  <dcterms:modified xsi:type="dcterms:W3CDTF">2026-08-17T12:03:03Z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2023-09-10T13:10:58Z</vt:filetime>
  </property>
  <property fmtid="{D5CDD505-2E9C-101B-9397-08002B2CF9AE}" pid="4" name="KSOProductBuildVer">
    <vt:lpwstr>2052-11.8.2.10337</vt:lpwstr>
  </property>
  <property fmtid="{D5CDD505-2E9C-101B-9397-08002B2CF9AE}" pid="5" name="ICV">
    <vt:lpwstr>4CBADF920FED41F4A3411873B6AAF479_13</vt:lpwstr>
  </property>
  <property fmtid="{D5CDD505-2E9C-101B-9397-08002B2CF9AE}" pid="6" name="KSOTemplateDocerSaveRecord">
    <vt:lpwstr>eyJoZGlkIjoiYmJhMmYzYzU4ODg0NDg2NzY2NmJiODQxNzhlMmRjMmEiLCJ1c2VySWQiOiIxNjA1OTY0ODE1In0=</vt:lpwstr>
  </property>
</Properties>
</file>