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600" w:lineRule="exact"/>
        <w:jc w:val="both"/>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附件3</w:t>
      </w:r>
    </w:p>
    <w:p>
      <w:pPr>
        <w:keepNext w:val="0"/>
        <w:keepLines w:val="0"/>
        <w:pageBreakBefore w:val="0"/>
        <w:kinsoku/>
        <w:overflowPunct/>
        <w:topLinePunct w:val="0"/>
        <w:bidi w:val="0"/>
        <w:jc w:val="both"/>
        <w:rPr>
          <w:rFonts w:hint="eastAsia" w:ascii="宋体" w:hAnsi="宋体" w:eastAsia="宋体" w:cs="宋体"/>
          <w:color w:val="auto"/>
          <w:sz w:val="36"/>
          <w:szCs w:val="28"/>
          <w:lang w:val="en-US" w:eastAsia="zh-CN"/>
        </w:rPr>
      </w:pPr>
    </w:p>
    <w:p>
      <w:pPr>
        <w:pStyle w:val="2"/>
        <w:keepNext w:val="0"/>
        <w:keepLines w:val="0"/>
        <w:pageBreakBefore w:val="0"/>
        <w:kinsoku/>
        <w:overflowPunct/>
        <w:topLinePunct w:val="0"/>
        <w:bidi w:val="0"/>
        <w:jc w:val="both"/>
        <w:rPr>
          <w:rFonts w:hint="eastAsia"/>
          <w:strike w:val="0"/>
          <w:dstrike w:val="0"/>
          <w:color w:val="auto"/>
          <w:lang w:val="en-US" w:eastAsia="zh-CN"/>
        </w:rPr>
      </w:pP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600" w:lineRule="exact"/>
        <w:jc w:val="center"/>
        <w:textAlignment w:val="auto"/>
        <w:rPr>
          <w:rFonts w:hint="eastAsia" w:ascii="宋体" w:hAnsi="宋体" w:eastAsia="宋体" w:cs="宋体"/>
          <w:strike w:val="0"/>
          <w:dstrike w:val="0"/>
          <w:color w:val="auto"/>
          <w:sz w:val="36"/>
          <w:szCs w:val="28"/>
          <w:lang w:val="en-US" w:eastAsia="zh-CN"/>
        </w:rPr>
      </w:pPr>
      <w:r>
        <w:rPr>
          <w:rFonts w:hint="eastAsia" w:ascii="宋体" w:hAnsi="宋体" w:eastAsia="宋体" w:cs="宋体"/>
          <w:strike w:val="0"/>
          <w:dstrike w:val="0"/>
          <w:color w:val="auto"/>
          <w:sz w:val="36"/>
          <w:szCs w:val="28"/>
          <w:lang w:val="en-US" w:eastAsia="zh-CN"/>
        </w:rPr>
        <w:t>福州市绿色建材应用项目设计及评价导则</w:t>
      </w: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600" w:lineRule="exact"/>
        <w:jc w:val="center"/>
        <w:textAlignment w:val="auto"/>
        <w:rPr>
          <w:rFonts w:hint="eastAsia" w:ascii="宋体" w:hAnsi="宋体" w:eastAsia="宋体" w:cs="宋体"/>
          <w:strike w:val="0"/>
          <w:dstrike w:val="0"/>
          <w:color w:val="auto"/>
          <w:sz w:val="36"/>
          <w:szCs w:val="28"/>
          <w:lang w:val="en-US" w:eastAsia="zh-CN"/>
        </w:rPr>
      </w:pPr>
      <w:r>
        <w:rPr>
          <w:rFonts w:hint="eastAsia" w:ascii="宋体" w:hAnsi="宋体" w:eastAsia="宋体" w:cs="宋体"/>
          <w:strike w:val="0"/>
          <w:dstrike w:val="0"/>
          <w:color w:val="auto"/>
          <w:sz w:val="36"/>
          <w:szCs w:val="28"/>
          <w:lang w:val="en-US" w:eastAsia="zh-CN"/>
        </w:rPr>
        <w:t>（</w:t>
      </w:r>
      <w:r>
        <w:rPr>
          <w:rFonts w:hint="default" w:ascii="Times New Roman" w:hAnsi="Times New Roman" w:eastAsia="宋体" w:cs="Times New Roman"/>
          <w:strike w:val="0"/>
          <w:dstrike w:val="0"/>
          <w:color w:val="auto"/>
          <w:sz w:val="36"/>
          <w:szCs w:val="28"/>
          <w:lang w:val="en-US" w:eastAsia="zh-CN"/>
        </w:rPr>
        <w:t>202</w:t>
      </w:r>
      <w:r>
        <w:rPr>
          <w:rFonts w:hint="eastAsia" w:eastAsia="宋体" w:cs="Times New Roman"/>
          <w:strike w:val="0"/>
          <w:dstrike w:val="0"/>
          <w:color w:val="auto"/>
          <w:sz w:val="36"/>
          <w:szCs w:val="28"/>
          <w:lang w:val="en-US" w:eastAsia="zh-CN"/>
        </w:rPr>
        <w:t>6</w:t>
      </w:r>
      <w:r>
        <w:rPr>
          <w:rFonts w:hint="eastAsia" w:ascii="宋体" w:hAnsi="宋体" w:eastAsia="宋体" w:cs="宋体"/>
          <w:strike w:val="0"/>
          <w:dstrike w:val="0"/>
          <w:color w:val="auto"/>
          <w:sz w:val="36"/>
          <w:szCs w:val="28"/>
          <w:lang w:val="en-US" w:eastAsia="zh-CN"/>
        </w:rPr>
        <w:t>年</w:t>
      </w:r>
      <w:r>
        <w:rPr>
          <w:rFonts w:hint="eastAsia" w:ascii="宋体" w:hAnsi="宋体" w:cs="宋体"/>
          <w:strike w:val="0"/>
          <w:dstrike w:val="0"/>
          <w:snapToGrid/>
          <w:color w:val="auto"/>
          <w:spacing w:val="-1"/>
          <w:szCs w:val="32"/>
          <w:lang w:val="en-US" w:eastAsia="zh-CN"/>
        </w:rPr>
        <w:t>版</w:t>
      </w:r>
      <w:r>
        <w:rPr>
          <w:rFonts w:hint="eastAsia" w:ascii="宋体" w:hAnsi="宋体" w:eastAsia="宋体" w:cs="宋体"/>
          <w:strike w:val="0"/>
          <w:dstrike w:val="0"/>
          <w:color w:val="auto"/>
          <w:sz w:val="36"/>
          <w:szCs w:val="28"/>
          <w:lang w:val="en-US" w:eastAsia="zh-CN"/>
        </w:rPr>
        <w:t>）</w:t>
      </w:r>
    </w:p>
    <w:p>
      <w:pPr>
        <w:pStyle w:val="4"/>
        <w:keepNext w:val="0"/>
        <w:keepLines w:val="0"/>
        <w:pageBreakBefore w:val="0"/>
        <w:widowControl w:val="0"/>
        <w:kinsoku/>
        <w:wordWrap/>
        <w:overflowPunct/>
        <w:topLinePunct w:val="0"/>
        <w:autoSpaceDE w:val="0"/>
        <w:autoSpaceDN w:val="0"/>
        <w:bidi w:val="0"/>
        <w:adjustRightInd/>
        <w:snapToGrid/>
        <w:spacing w:before="0" w:beforeLines="0" w:after="0" w:afterLines="0" w:line="600" w:lineRule="exact"/>
        <w:jc w:val="center"/>
        <w:textAlignment w:val="auto"/>
        <w:rPr>
          <w:rFonts w:hint="default" w:ascii="宋体" w:hAnsi="宋体" w:eastAsia="宋体" w:cs="宋体"/>
          <w:strike w:val="0"/>
          <w:dstrike w:val="0"/>
          <w:color w:val="auto"/>
          <w:sz w:val="36"/>
          <w:szCs w:val="28"/>
          <w:lang w:val="en-US" w:eastAsia="zh-CN"/>
        </w:rPr>
      </w:pPr>
      <w:r>
        <w:rPr>
          <w:rFonts w:hint="eastAsia" w:ascii="宋体" w:hAnsi="宋体" w:eastAsia="宋体" w:cs="宋体"/>
          <w:strike w:val="0"/>
          <w:dstrike w:val="0"/>
          <w:color w:val="auto"/>
          <w:sz w:val="36"/>
          <w:szCs w:val="28"/>
          <w:lang w:val="en-US" w:eastAsia="zh-CN"/>
        </w:rPr>
        <w:t>(征求意见稿)</w:t>
      </w:r>
    </w:p>
    <w:p>
      <w:pPr>
        <w:keepNext w:val="0"/>
        <w:keepLines w:val="0"/>
        <w:pageBreakBefore w:val="0"/>
        <w:kinsoku/>
        <w:overflowPunct/>
        <w:topLinePunct w:val="0"/>
        <w:bidi w:val="0"/>
        <w:jc w:val="center"/>
        <w:rPr>
          <w:rFonts w:hint="eastAsia" w:ascii="宋体" w:hAnsi="宋体" w:eastAsia="宋体" w:cs="宋体"/>
          <w:strike w:val="0"/>
          <w:dstrike w:val="0"/>
          <w:color w:val="auto"/>
          <w:sz w:val="36"/>
          <w:szCs w:val="28"/>
          <w:lang w:val="en-US" w:eastAsia="zh-CN"/>
        </w:rPr>
      </w:pPr>
    </w:p>
    <w:p>
      <w:pPr>
        <w:pStyle w:val="4"/>
        <w:keepNext w:val="0"/>
        <w:keepLines w:val="0"/>
        <w:pageBreakBefore w:val="0"/>
        <w:widowControl w:val="0"/>
        <w:numPr>
          <w:ilvl w:val="0"/>
          <w:numId w:val="0"/>
        </w:numPr>
        <w:tabs>
          <w:tab w:val="left" w:pos="4161"/>
        </w:tabs>
        <w:kinsoku/>
        <w:wordWrap/>
        <w:overflowPunct/>
        <w:topLinePunct w:val="0"/>
        <w:autoSpaceDE w:val="0"/>
        <w:autoSpaceDN w:val="0"/>
        <w:bidi w:val="0"/>
        <w:adjustRightInd/>
        <w:snapToGrid/>
        <w:spacing w:before="0" w:beforeLines="100" w:after="0" w:afterLines="100" w:line="360" w:lineRule="auto"/>
        <w:ind w:leftChars="0" w:right="0" w:rightChars="0"/>
        <w:jc w:val="center"/>
        <w:textAlignment w:val="auto"/>
        <w:outlineLvl w:val="0"/>
        <w:rPr>
          <w:rFonts w:hint="eastAsia" w:ascii="宋体" w:hAnsi="宋体" w:eastAsia="宋体" w:cs="宋体"/>
          <w:strike w:val="0"/>
          <w:dstrike w:val="0"/>
          <w:snapToGrid/>
          <w:color w:val="auto"/>
          <w:spacing w:val="-1"/>
          <w:szCs w:val="32"/>
          <w:lang w:eastAsia="zh-CN"/>
        </w:rPr>
      </w:pPr>
      <w:r>
        <w:rPr>
          <w:rFonts w:hint="eastAsia" w:ascii="宋体" w:hAnsi="宋体" w:eastAsia="宋体" w:cs="宋体"/>
          <w:strike w:val="0"/>
          <w:dstrike w:val="0"/>
          <w:snapToGrid/>
          <w:color w:val="auto"/>
          <w:spacing w:val="-1"/>
          <w:szCs w:val="32"/>
          <w:lang w:eastAsia="zh-CN"/>
        </w:rPr>
        <w:t>局部修订说明</w:t>
      </w:r>
    </w:p>
    <w:p>
      <w:pPr>
        <w:pStyle w:val="4"/>
        <w:keepNext w:val="0"/>
        <w:keepLines w:val="0"/>
        <w:pageBreakBefore w:val="0"/>
        <w:widowControl w:val="0"/>
        <w:numPr>
          <w:ilvl w:val="0"/>
          <w:numId w:val="0"/>
        </w:numPr>
        <w:tabs>
          <w:tab w:val="left" w:pos="4161"/>
        </w:tabs>
        <w:kinsoku/>
        <w:wordWrap/>
        <w:overflowPunct/>
        <w:topLinePunct w:val="0"/>
        <w:autoSpaceDE w:val="0"/>
        <w:autoSpaceDN w:val="0"/>
        <w:bidi w:val="0"/>
        <w:adjustRightInd/>
        <w:snapToGrid/>
        <w:spacing w:before="0" w:beforeLines="0" w:after="0" w:afterLines="0" w:line="360" w:lineRule="auto"/>
        <w:ind w:leftChars="0" w:right="0" w:rightChars="0" w:firstLine="548" w:firstLineChars="200"/>
        <w:jc w:val="both"/>
        <w:textAlignment w:val="auto"/>
        <w:outlineLvl w:val="0"/>
        <w:rPr>
          <w:rFonts w:hint="eastAsia" w:ascii="宋体" w:hAnsi="宋体" w:eastAsia="宋体" w:cs="宋体"/>
          <w:b w:val="0"/>
          <w:strike w:val="0"/>
          <w:dstrike w:val="0"/>
          <w:snapToGrid w:val="0"/>
          <w:color w:val="auto"/>
          <w:spacing w:val="-3"/>
          <w:kern w:val="0"/>
          <w:position w:val="17"/>
          <w:sz w:val="28"/>
          <w:szCs w:val="28"/>
          <w:highlight w:val="none"/>
          <w:lang w:val="en-US" w:eastAsia="zh-CN" w:bidi="ar-SA"/>
        </w:rPr>
      </w:pPr>
      <w:r>
        <w:rPr>
          <w:rFonts w:hint="eastAsia" w:ascii="宋体" w:hAnsi="宋体" w:eastAsia="宋体" w:cs="宋体"/>
          <w:b w:val="0"/>
          <w:strike w:val="0"/>
          <w:dstrike w:val="0"/>
          <w:snapToGrid w:val="0"/>
          <w:color w:val="auto"/>
          <w:spacing w:val="-3"/>
          <w:kern w:val="0"/>
          <w:position w:val="17"/>
          <w:sz w:val="28"/>
          <w:szCs w:val="28"/>
          <w:highlight w:val="none"/>
          <w:lang w:val="en-US" w:eastAsia="zh-CN" w:bidi="ar-SA"/>
        </w:rPr>
        <w:t>本次局部修订工作是依据《福州市绿色建材应用比例计算技术细则（2026年版 试行）》中相关调整修订，由福州市建筑设计院股份有限公司会同有关单位共同完成。</w:t>
      </w:r>
    </w:p>
    <w:p>
      <w:pPr>
        <w:pStyle w:val="4"/>
        <w:keepNext w:val="0"/>
        <w:keepLines w:val="0"/>
        <w:pageBreakBefore w:val="0"/>
        <w:widowControl w:val="0"/>
        <w:numPr>
          <w:ilvl w:val="0"/>
          <w:numId w:val="0"/>
        </w:numPr>
        <w:tabs>
          <w:tab w:val="left" w:pos="4161"/>
        </w:tabs>
        <w:kinsoku/>
        <w:wordWrap/>
        <w:overflowPunct/>
        <w:topLinePunct w:val="0"/>
        <w:autoSpaceDE w:val="0"/>
        <w:autoSpaceDN w:val="0"/>
        <w:bidi w:val="0"/>
        <w:adjustRightInd/>
        <w:snapToGrid/>
        <w:spacing w:before="0" w:beforeLines="0" w:after="0" w:afterLines="0" w:line="360" w:lineRule="auto"/>
        <w:ind w:leftChars="0" w:right="0" w:rightChars="0" w:firstLine="548" w:firstLineChars="200"/>
        <w:jc w:val="both"/>
        <w:textAlignment w:val="auto"/>
        <w:outlineLvl w:val="0"/>
        <w:rPr>
          <w:rFonts w:hint="eastAsia" w:ascii="宋体" w:hAnsi="宋体" w:eastAsia="宋体" w:cs="宋体"/>
          <w:b w:val="0"/>
          <w:strike w:val="0"/>
          <w:dstrike w:val="0"/>
          <w:snapToGrid w:val="0"/>
          <w:color w:val="auto"/>
          <w:spacing w:val="-3"/>
          <w:kern w:val="0"/>
          <w:position w:val="17"/>
          <w:sz w:val="28"/>
          <w:szCs w:val="28"/>
          <w:highlight w:val="none"/>
          <w:lang w:val="en-US" w:eastAsia="zh-CN" w:bidi="ar-SA"/>
        </w:rPr>
      </w:pPr>
      <w:r>
        <w:rPr>
          <w:rFonts w:hint="eastAsia" w:ascii="宋体" w:hAnsi="宋体" w:eastAsia="宋体" w:cs="宋体"/>
          <w:b w:val="0"/>
          <w:strike w:val="0"/>
          <w:dstrike w:val="0"/>
          <w:snapToGrid w:val="0"/>
          <w:color w:val="auto"/>
          <w:spacing w:val="-3"/>
          <w:kern w:val="0"/>
          <w:position w:val="17"/>
          <w:sz w:val="28"/>
          <w:szCs w:val="28"/>
          <w:highlight w:val="none"/>
          <w:lang w:val="en-US" w:eastAsia="zh-CN" w:bidi="ar-SA"/>
        </w:rPr>
        <w:t>本次局部修订的主要内容为：调整简化项目各阶段检查与评价材料要求，更新附录A中《绿色建材应用比例计算汇总表》与《福州市绿色建材应用比例计算技术细则（2026年版 试行）》对应，更新附录B中《应用项目绿色建材类型表》与《福州市绿色建筑和绿色建材政府采购基本要求（2026年版）》对应。</w:t>
      </w:r>
    </w:p>
    <w:p>
      <w:pPr>
        <w:keepNext w:val="0"/>
        <w:keepLines w:val="0"/>
        <w:pageBreakBefore w:val="0"/>
        <w:kinsoku/>
        <w:overflowPunct/>
        <w:topLinePunct w:val="0"/>
        <w:bidi w:val="0"/>
        <w:jc w:val="both"/>
        <w:rPr>
          <w:rFonts w:hint="eastAsia" w:ascii="宋体" w:hAnsi="宋体" w:eastAsia="宋体" w:cs="宋体"/>
          <w:strike/>
          <w:dstrike w:val="0"/>
          <w:color w:val="auto"/>
          <w:sz w:val="36"/>
          <w:szCs w:val="28"/>
          <w:lang w:val="en-US" w:eastAsia="zh-CN"/>
        </w:rPr>
      </w:pPr>
    </w:p>
    <w:p>
      <w:pPr>
        <w:pStyle w:val="2"/>
        <w:keepNext w:val="0"/>
        <w:keepLines w:val="0"/>
        <w:pageBreakBefore w:val="0"/>
        <w:kinsoku/>
        <w:overflowPunct/>
        <w:topLinePunct w:val="0"/>
        <w:bidi w:val="0"/>
        <w:jc w:val="both"/>
        <w:rPr>
          <w:rFonts w:hint="eastAsia" w:ascii="宋体" w:hAnsi="宋体" w:eastAsia="宋体" w:cs="宋体"/>
          <w:strike/>
          <w:dstrike w:val="0"/>
          <w:color w:val="auto"/>
          <w:sz w:val="36"/>
          <w:szCs w:val="28"/>
          <w:lang w:val="en-US" w:eastAsia="zh-CN"/>
        </w:rPr>
        <w:sectPr>
          <w:headerReference r:id="rId5" w:type="default"/>
          <w:footerReference r:id="rId6" w:type="default"/>
          <w:pgSz w:w="11906" w:h="16839"/>
          <w:pgMar w:top="1431" w:right="1473" w:bottom="1857" w:left="1597" w:header="0" w:footer="1692" w:gutter="0"/>
          <w:cols w:space="720" w:num="1"/>
        </w:sectPr>
      </w:pPr>
    </w:p>
    <w:sdt>
      <w:sdtPr>
        <w:rPr>
          <w:rFonts w:hint="eastAsia" w:ascii="宋体" w:hAnsi="宋体" w:eastAsia="宋体" w:cs="宋体"/>
          <w:b/>
          <w:bCs/>
          <w:snapToGrid w:val="0"/>
          <w:color w:val="auto"/>
          <w:kern w:val="0"/>
          <w:sz w:val="32"/>
          <w:szCs w:val="32"/>
          <w:highlight w:val="none"/>
          <w:lang w:val="en-US" w:eastAsia="en-US" w:bidi="ar-SA"/>
        </w:rPr>
        <w:id w:val="147460844"/>
        <w:docPartObj>
          <w:docPartGallery w:val="Table of Contents"/>
          <w:docPartUnique/>
        </w:docPartObj>
      </w:sdtPr>
      <w:sdtEndPr>
        <w:rPr>
          <w:rFonts w:hint="eastAsia" w:ascii="宋体" w:hAnsi="宋体" w:eastAsia="宋体" w:cs="宋体"/>
          <w:b/>
          <w:bCs/>
          <w:snapToGrid w:val="0"/>
          <w:color w:val="auto"/>
          <w:kern w:val="0"/>
          <w:sz w:val="28"/>
          <w:szCs w:val="28"/>
          <w:highlight w:val="none"/>
          <w:lang w:val="en-US" w:eastAsia="en-US" w:bidi="ar-SA"/>
        </w:rPr>
      </w:sdtEndPr>
      <w:sdtContent>
        <w:p>
          <w:pPr>
            <w:keepNext w:val="0"/>
            <w:keepLines w:val="0"/>
            <w:pageBreakBefore w:val="0"/>
            <w:kinsoku/>
            <w:overflowPunct/>
            <w:topLinePunct w:val="0"/>
            <w:bidi w:val="0"/>
            <w:spacing w:before="0" w:beforeLines="0" w:after="0" w:afterLines="0" w:line="240" w:lineRule="auto"/>
            <w:ind w:left="0" w:leftChars="0" w:right="0" w:rightChars="0" w:firstLine="0" w:firstLineChars="0"/>
            <w:jc w:val="both"/>
            <w:rPr>
              <w:color w:val="auto"/>
              <w:sz w:val="30"/>
              <w:szCs w:val="30"/>
            </w:rPr>
          </w:pPr>
        </w:p>
        <w:p>
          <w:pPr>
            <w:pStyle w:val="10"/>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TOC \o "1-3" \h \u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_Toc20023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8"/>
              <w:sz w:val="28"/>
              <w:szCs w:val="28"/>
              <w:highlight w:val="none"/>
              <w:u w:val="none"/>
            </w:rPr>
            <w:t>1</w:t>
          </w:r>
          <w:r>
            <w:rPr>
              <w:rFonts w:hint="default" w:ascii="Times New Roman" w:hAnsi="Times New Roman" w:eastAsia="宋体" w:cs="Times New Roman"/>
              <w:bCs/>
              <w:color w:val="auto"/>
              <w:spacing w:val="12"/>
              <w:sz w:val="28"/>
              <w:szCs w:val="28"/>
              <w:highlight w:val="none"/>
              <w:u w:val="none"/>
            </w:rPr>
            <w:t xml:space="preserve">  </w:t>
          </w:r>
          <w:r>
            <w:rPr>
              <w:rFonts w:hint="default" w:ascii="Times New Roman" w:hAnsi="Times New Roman" w:eastAsia="宋体" w:cs="Times New Roman"/>
              <w:bCs/>
              <w:color w:val="auto"/>
              <w:spacing w:val="12"/>
              <w:sz w:val="28"/>
              <w:szCs w:val="28"/>
              <w:highlight w:val="none"/>
              <w:u w:val="none"/>
              <w:lang w:val="en-US" w:eastAsia="zh-CN"/>
            </w:rPr>
            <w:t xml:space="preserve">  </w:t>
          </w:r>
          <w:r>
            <w:rPr>
              <w:rFonts w:hint="default" w:ascii="Times New Roman" w:hAnsi="Times New Roman" w:eastAsia="宋体" w:cs="Times New Roman"/>
              <w:bCs/>
              <w:color w:val="auto"/>
              <w:spacing w:val="-8"/>
              <w:sz w:val="28"/>
              <w:szCs w:val="28"/>
              <w:highlight w:val="none"/>
              <w:u w:val="none"/>
            </w:rPr>
            <w:t>总则</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_Toc20023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1</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0"/>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highlight w:val="none"/>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_Toc17987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2"/>
              <w:sz w:val="28"/>
              <w:szCs w:val="28"/>
              <w:highlight w:val="none"/>
              <w:u w:val="none"/>
            </w:rPr>
            <w:t>2</w:t>
          </w:r>
          <w:r>
            <w:rPr>
              <w:rFonts w:hint="default" w:ascii="Times New Roman" w:hAnsi="Times New Roman" w:eastAsia="宋体" w:cs="Times New Roman"/>
              <w:bCs/>
              <w:color w:val="auto"/>
              <w:spacing w:val="10"/>
              <w:sz w:val="28"/>
              <w:szCs w:val="28"/>
              <w:highlight w:val="none"/>
              <w:u w:val="none"/>
            </w:rPr>
            <w:t xml:space="preserve">  </w:t>
          </w:r>
          <w:r>
            <w:rPr>
              <w:rFonts w:hint="eastAsia" w:ascii="Times New Roman" w:hAnsi="Times New Roman" w:eastAsia="宋体" w:cs="Times New Roman"/>
              <w:bCs/>
              <w:color w:val="auto"/>
              <w:spacing w:val="10"/>
              <w:sz w:val="28"/>
              <w:szCs w:val="28"/>
              <w:highlight w:val="none"/>
              <w:u w:val="none"/>
              <w:lang w:val="en-US" w:eastAsia="zh-CN"/>
            </w:rPr>
            <w:t xml:space="preserve">  </w:t>
          </w:r>
          <w:r>
            <w:rPr>
              <w:rFonts w:hint="default" w:ascii="Times New Roman" w:hAnsi="Times New Roman" w:eastAsia="宋体" w:cs="Times New Roman"/>
              <w:bCs/>
              <w:color w:val="auto"/>
              <w:spacing w:val="-2"/>
              <w:sz w:val="28"/>
              <w:szCs w:val="28"/>
              <w:highlight w:val="none"/>
              <w:u w:val="none"/>
            </w:rPr>
            <w:t>术语</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_Toc17987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2</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1"/>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highlight w:val="none"/>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_Toc14786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6"/>
              <w:sz w:val="28"/>
              <w:szCs w:val="28"/>
              <w:highlight w:val="none"/>
              <w:u w:val="none"/>
              <w:lang w:val="en-US" w:eastAsia="zh-CN"/>
            </w:rPr>
            <w:t>2</w:t>
          </w:r>
          <w:r>
            <w:rPr>
              <w:rFonts w:hint="default" w:ascii="Times New Roman" w:hAnsi="Times New Roman" w:eastAsia="宋体" w:cs="Times New Roman"/>
              <w:bCs/>
              <w:color w:val="auto"/>
              <w:spacing w:val="-6"/>
              <w:sz w:val="28"/>
              <w:szCs w:val="28"/>
              <w:highlight w:val="none"/>
              <w:u w:val="none"/>
            </w:rPr>
            <w:t>.1</w:t>
          </w:r>
          <w:r>
            <w:rPr>
              <w:rFonts w:hint="eastAsia" w:ascii="Times New Roman" w:hAnsi="Times New Roman" w:eastAsia="宋体" w:cs="Times New Roman"/>
              <w:bCs/>
              <w:color w:val="auto"/>
              <w:spacing w:val="-6"/>
              <w:sz w:val="28"/>
              <w:szCs w:val="28"/>
              <w:highlight w:val="none"/>
              <w:u w:val="none"/>
              <w:lang w:val="en-US" w:eastAsia="zh-CN"/>
            </w:rPr>
            <w:t xml:space="preserve">    </w:t>
          </w:r>
          <w:r>
            <w:rPr>
              <w:rFonts w:hint="default" w:ascii="Times New Roman" w:hAnsi="Times New Roman" w:eastAsia="宋体" w:cs="Times New Roman"/>
              <w:bCs/>
              <w:color w:val="auto"/>
              <w:spacing w:val="18"/>
              <w:sz w:val="28"/>
              <w:szCs w:val="28"/>
              <w:highlight w:val="none"/>
              <w:u w:val="none"/>
              <w:lang w:val="en-US" w:eastAsia="zh-CN"/>
            </w:rPr>
            <w:t>绿色建筑</w:t>
          </w:r>
          <w:r>
            <w:rPr>
              <w:rFonts w:hint="default" w:ascii="Times New Roman" w:hAnsi="Times New Roman" w:eastAsia="宋体" w:cs="Times New Roman"/>
              <w:color w:val="auto"/>
              <w:sz w:val="28"/>
              <w:szCs w:val="28"/>
              <w:u w:val="none"/>
            </w:rPr>
            <w:tab/>
          </w:r>
          <w:r>
            <w:rPr>
              <w:rFonts w:hint="eastAsia" w:ascii="Times New Roman" w:hAnsi="Times New Roman" w:eastAsia="宋体" w:cs="Times New Roman"/>
              <w:color w:val="auto"/>
              <w:sz w:val="28"/>
              <w:szCs w:val="28"/>
              <w:u w:val="none"/>
              <w:lang w:val="en-US" w:eastAsia="zh-CN"/>
            </w:rPr>
            <w:t>2</w:t>
          </w:r>
          <w:r>
            <w:rPr>
              <w:rFonts w:hint="default" w:ascii="Times New Roman" w:hAnsi="Times New Roman" w:eastAsia="宋体" w:cs="Times New Roman"/>
              <w:color w:val="auto"/>
              <w:sz w:val="28"/>
              <w:szCs w:val="28"/>
              <w:highlight w:val="none"/>
              <w:u w:val="none"/>
            </w:rPr>
            <w:fldChar w:fldCharType="end"/>
          </w:r>
        </w:p>
        <w:p>
          <w:pPr>
            <w:pStyle w:val="11"/>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_Toc14786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6"/>
              <w:sz w:val="28"/>
              <w:szCs w:val="28"/>
              <w:highlight w:val="none"/>
              <w:u w:val="none"/>
              <w:lang w:val="en-US" w:eastAsia="zh-CN"/>
            </w:rPr>
            <w:t>2</w:t>
          </w:r>
          <w:r>
            <w:rPr>
              <w:rFonts w:hint="default" w:ascii="Times New Roman" w:hAnsi="Times New Roman" w:eastAsia="宋体" w:cs="Times New Roman"/>
              <w:bCs/>
              <w:color w:val="auto"/>
              <w:spacing w:val="-6"/>
              <w:sz w:val="28"/>
              <w:szCs w:val="28"/>
              <w:highlight w:val="none"/>
              <w:u w:val="none"/>
            </w:rPr>
            <w:t>.</w:t>
          </w:r>
          <w:r>
            <w:rPr>
              <w:rFonts w:hint="default" w:ascii="Times New Roman" w:hAnsi="Times New Roman" w:eastAsia="宋体" w:cs="Times New Roman"/>
              <w:bCs/>
              <w:color w:val="auto"/>
              <w:spacing w:val="-6"/>
              <w:sz w:val="28"/>
              <w:szCs w:val="28"/>
              <w:highlight w:val="none"/>
              <w:u w:val="none"/>
              <w:lang w:val="en-US" w:eastAsia="zh-CN"/>
            </w:rPr>
            <w:t>2</w:t>
          </w:r>
          <w:r>
            <w:rPr>
              <w:rFonts w:hint="default" w:ascii="Times New Roman" w:hAnsi="Times New Roman" w:eastAsia="宋体" w:cs="Times New Roman"/>
              <w:bCs/>
              <w:color w:val="auto"/>
              <w:spacing w:val="18"/>
              <w:sz w:val="28"/>
              <w:szCs w:val="28"/>
              <w:highlight w:val="none"/>
              <w:u w:val="none"/>
            </w:rPr>
            <w:t xml:space="preserve"> </w:t>
          </w:r>
          <w:r>
            <w:rPr>
              <w:rFonts w:hint="eastAsia" w:ascii="Times New Roman" w:hAnsi="Times New Roman" w:eastAsia="宋体" w:cs="Times New Roman"/>
              <w:bCs/>
              <w:color w:val="auto"/>
              <w:spacing w:val="18"/>
              <w:sz w:val="28"/>
              <w:szCs w:val="28"/>
              <w:highlight w:val="none"/>
              <w:u w:val="none"/>
              <w:lang w:val="en-US" w:eastAsia="zh-CN"/>
            </w:rPr>
            <w:t xml:space="preserve">  </w:t>
          </w:r>
          <w:r>
            <w:rPr>
              <w:rFonts w:hint="default" w:ascii="Times New Roman" w:hAnsi="Times New Roman" w:eastAsia="宋体" w:cs="Times New Roman"/>
              <w:bCs/>
              <w:color w:val="auto"/>
              <w:spacing w:val="18"/>
              <w:sz w:val="28"/>
              <w:szCs w:val="28"/>
              <w:highlight w:val="none"/>
              <w:u w:val="none"/>
              <w:lang w:val="en-US" w:eastAsia="zh-CN"/>
            </w:rPr>
            <w:t>绿色建材</w:t>
          </w:r>
          <w:r>
            <w:rPr>
              <w:rFonts w:hint="default" w:ascii="Times New Roman" w:hAnsi="Times New Roman" w:eastAsia="宋体" w:cs="Times New Roman"/>
              <w:color w:val="auto"/>
              <w:sz w:val="28"/>
              <w:szCs w:val="28"/>
              <w:u w:val="none"/>
            </w:rPr>
            <w:tab/>
          </w:r>
          <w:r>
            <w:rPr>
              <w:rFonts w:hint="eastAsia" w:ascii="Times New Roman" w:hAnsi="Times New Roman" w:eastAsia="宋体" w:cs="Times New Roman"/>
              <w:color w:val="auto"/>
              <w:sz w:val="28"/>
              <w:szCs w:val="28"/>
              <w:u w:val="none"/>
              <w:lang w:val="en-US" w:eastAsia="zh-CN"/>
            </w:rPr>
            <w:t>2</w:t>
          </w:r>
          <w:r>
            <w:rPr>
              <w:rFonts w:hint="default" w:ascii="Times New Roman" w:hAnsi="Times New Roman" w:eastAsia="宋体" w:cs="Times New Roman"/>
              <w:color w:val="auto"/>
              <w:sz w:val="28"/>
              <w:szCs w:val="28"/>
              <w:highlight w:val="none"/>
              <w:u w:val="none"/>
            </w:rPr>
            <w:fldChar w:fldCharType="end"/>
          </w:r>
        </w:p>
        <w:p>
          <w:pPr>
            <w:pStyle w:val="10"/>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_Toc9461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4"/>
              <w:sz w:val="28"/>
              <w:szCs w:val="28"/>
              <w:highlight w:val="none"/>
              <w:u w:val="none"/>
            </w:rPr>
            <w:t xml:space="preserve">3 </w:t>
          </w:r>
          <w:r>
            <w:rPr>
              <w:rFonts w:hint="eastAsia" w:ascii="Times New Roman" w:hAnsi="Times New Roman" w:eastAsia="宋体" w:cs="Times New Roman"/>
              <w:bCs/>
              <w:color w:val="auto"/>
              <w:spacing w:val="4"/>
              <w:sz w:val="28"/>
              <w:szCs w:val="28"/>
              <w:highlight w:val="none"/>
              <w:u w:val="none"/>
              <w:lang w:val="en-US" w:eastAsia="zh-CN"/>
            </w:rPr>
            <w:t xml:space="preserve">   </w:t>
          </w:r>
          <w:r>
            <w:rPr>
              <w:rFonts w:hint="default" w:ascii="Times New Roman" w:hAnsi="Times New Roman" w:eastAsia="宋体" w:cs="Times New Roman"/>
              <w:bCs/>
              <w:color w:val="auto"/>
              <w:spacing w:val="4"/>
              <w:sz w:val="28"/>
              <w:szCs w:val="28"/>
              <w:highlight w:val="none"/>
              <w:u w:val="none"/>
            </w:rPr>
            <w:t xml:space="preserve"> 基本规定</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_Toc9461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2</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0"/>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_Toc12498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4"/>
              <w:sz w:val="28"/>
              <w:szCs w:val="28"/>
              <w:highlight w:val="none"/>
              <w:u w:val="none"/>
              <w:lang w:val="en-US" w:eastAsia="zh-CN"/>
            </w:rPr>
            <w:t xml:space="preserve">4  </w:t>
          </w:r>
          <w:r>
            <w:rPr>
              <w:rFonts w:hint="eastAsia" w:ascii="Times New Roman" w:hAnsi="Times New Roman" w:eastAsia="宋体" w:cs="Times New Roman"/>
              <w:bCs/>
              <w:color w:val="auto"/>
              <w:spacing w:val="4"/>
              <w:sz w:val="28"/>
              <w:szCs w:val="28"/>
              <w:highlight w:val="none"/>
              <w:u w:val="none"/>
              <w:lang w:val="en-US" w:eastAsia="zh-CN"/>
            </w:rPr>
            <w:t xml:space="preserve">   </w:t>
          </w:r>
          <w:r>
            <w:rPr>
              <w:rFonts w:hint="default" w:ascii="Times New Roman" w:hAnsi="Times New Roman" w:eastAsia="宋体" w:cs="Times New Roman"/>
              <w:bCs/>
              <w:color w:val="auto"/>
              <w:spacing w:val="4"/>
              <w:sz w:val="28"/>
              <w:szCs w:val="28"/>
              <w:highlight w:val="none"/>
              <w:u w:val="none"/>
              <w:lang w:val="en-US" w:eastAsia="zh-CN"/>
            </w:rPr>
            <w:t>设计及评价流程</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_Toc12498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4</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0"/>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_Toc24592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6"/>
              <w:sz w:val="28"/>
              <w:szCs w:val="28"/>
              <w:highlight w:val="none"/>
              <w:u w:val="none"/>
              <w:lang w:val="en-US" w:eastAsia="zh-CN"/>
            </w:rPr>
            <w:t xml:space="preserve">5  </w:t>
          </w:r>
          <w:r>
            <w:rPr>
              <w:rFonts w:hint="eastAsia" w:ascii="Times New Roman" w:hAnsi="Times New Roman" w:eastAsia="宋体" w:cs="Times New Roman"/>
              <w:bCs/>
              <w:color w:val="auto"/>
              <w:spacing w:val="6"/>
              <w:sz w:val="28"/>
              <w:szCs w:val="28"/>
              <w:highlight w:val="none"/>
              <w:u w:val="none"/>
              <w:lang w:val="en-US" w:eastAsia="zh-CN"/>
            </w:rPr>
            <w:t xml:space="preserve">    检查与</w:t>
          </w:r>
          <w:r>
            <w:rPr>
              <w:rFonts w:hint="default" w:ascii="Times New Roman" w:hAnsi="Times New Roman" w:eastAsia="宋体" w:cs="Times New Roman"/>
              <w:bCs/>
              <w:color w:val="auto"/>
              <w:spacing w:val="6"/>
              <w:sz w:val="28"/>
              <w:szCs w:val="28"/>
              <w:highlight w:val="none"/>
              <w:u w:val="none"/>
            </w:rPr>
            <w:t>评</w:t>
          </w:r>
          <w:r>
            <w:rPr>
              <w:rFonts w:hint="default" w:ascii="Times New Roman" w:hAnsi="Times New Roman" w:eastAsia="宋体" w:cs="Times New Roman"/>
              <w:bCs/>
              <w:color w:val="auto"/>
              <w:spacing w:val="6"/>
              <w:sz w:val="28"/>
              <w:szCs w:val="28"/>
              <w:highlight w:val="none"/>
              <w:u w:val="none"/>
              <w:lang w:eastAsia="zh-CN"/>
            </w:rPr>
            <w:t>价</w:t>
          </w:r>
          <w:r>
            <w:rPr>
              <w:rFonts w:hint="default" w:ascii="Times New Roman" w:hAnsi="Times New Roman" w:eastAsia="宋体" w:cs="Times New Roman"/>
              <w:bCs/>
              <w:color w:val="auto"/>
              <w:spacing w:val="6"/>
              <w:sz w:val="28"/>
              <w:szCs w:val="28"/>
              <w:highlight w:val="none"/>
              <w:u w:val="none"/>
            </w:rPr>
            <w:t>的原则、方法与基本内容</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_Toc24592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5</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1"/>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_Toc14786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6"/>
              <w:sz w:val="28"/>
              <w:szCs w:val="28"/>
              <w:highlight w:val="none"/>
              <w:u w:val="none"/>
              <w:lang w:val="en-US" w:eastAsia="zh-CN"/>
            </w:rPr>
            <w:t>5</w:t>
          </w:r>
          <w:r>
            <w:rPr>
              <w:rFonts w:hint="default" w:ascii="Times New Roman" w:hAnsi="Times New Roman" w:eastAsia="宋体" w:cs="Times New Roman"/>
              <w:bCs/>
              <w:color w:val="auto"/>
              <w:spacing w:val="-6"/>
              <w:sz w:val="28"/>
              <w:szCs w:val="28"/>
              <w:highlight w:val="none"/>
              <w:u w:val="none"/>
            </w:rPr>
            <w:t>.1</w:t>
          </w:r>
          <w:r>
            <w:rPr>
              <w:rFonts w:hint="default" w:ascii="Times New Roman" w:hAnsi="Times New Roman" w:eastAsia="宋体" w:cs="Times New Roman"/>
              <w:bCs/>
              <w:color w:val="auto"/>
              <w:spacing w:val="18"/>
              <w:sz w:val="28"/>
              <w:szCs w:val="28"/>
              <w:highlight w:val="none"/>
              <w:u w:val="none"/>
            </w:rPr>
            <w:t xml:space="preserve"> </w:t>
          </w:r>
          <w:r>
            <w:rPr>
              <w:rFonts w:hint="eastAsia" w:ascii="Times New Roman" w:hAnsi="Times New Roman" w:eastAsia="宋体" w:cs="Times New Roman"/>
              <w:bCs/>
              <w:color w:val="auto"/>
              <w:spacing w:val="18"/>
              <w:sz w:val="28"/>
              <w:szCs w:val="28"/>
              <w:highlight w:val="none"/>
              <w:u w:val="none"/>
              <w:lang w:val="en-US" w:eastAsia="zh-CN"/>
            </w:rPr>
            <w:t xml:space="preserve">  </w:t>
          </w:r>
          <w:r>
            <w:rPr>
              <w:rFonts w:hint="default" w:ascii="Times New Roman" w:hAnsi="Times New Roman" w:eastAsia="宋体" w:cs="Times New Roman"/>
              <w:bCs/>
              <w:color w:val="auto"/>
              <w:spacing w:val="-6"/>
              <w:sz w:val="28"/>
              <w:szCs w:val="28"/>
              <w:highlight w:val="none"/>
              <w:u w:val="none"/>
            </w:rPr>
            <w:t>原则</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_Toc14786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5</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1"/>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_Toc5789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5"/>
              <w:sz w:val="28"/>
              <w:szCs w:val="28"/>
              <w:highlight w:val="none"/>
              <w:u w:val="none"/>
              <w:lang w:val="en-US" w:eastAsia="zh-CN"/>
            </w:rPr>
            <w:t>5.</w:t>
          </w:r>
          <w:r>
            <w:rPr>
              <w:rFonts w:hint="default" w:ascii="Times New Roman" w:hAnsi="Times New Roman" w:eastAsia="宋体" w:cs="Times New Roman"/>
              <w:bCs/>
              <w:color w:val="auto"/>
              <w:spacing w:val="-5"/>
              <w:sz w:val="28"/>
              <w:szCs w:val="28"/>
              <w:highlight w:val="none"/>
              <w:u w:val="none"/>
            </w:rPr>
            <w:t>2</w:t>
          </w:r>
          <w:r>
            <w:rPr>
              <w:rFonts w:hint="default" w:ascii="Times New Roman" w:hAnsi="Times New Roman" w:eastAsia="宋体" w:cs="Times New Roman"/>
              <w:bCs/>
              <w:color w:val="auto"/>
              <w:spacing w:val="12"/>
              <w:sz w:val="28"/>
              <w:szCs w:val="28"/>
              <w:highlight w:val="none"/>
              <w:u w:val="none"/>
            </w:rPr>
            <w:t xml:space="preserve"> </w:t>
          </w:r>
          <w:r>
            <w:rPr>
              <w:rFonts w:hint="eastAsia" w:ascii="Times New Roman" w:hAnsi="Times New Roman" w:eastAsia="宋体" w:cs="Times New Roman"/>
              <w:bCs/>
              <w:color w:val="auto"/>
              <w:spacing w:val="12"/>
              <w:sz w:val="28"/>
              <w:szCs w:val="28"/>
              <w:highlight w:val="none"/>
              <w:u w:val="none"/>
              <w:lang w:val="en-US" w:eastAsia="zh-CN"/>
            </w:rPr>
            <w:t xml:space="preserve">  </w:t>
          </w:r>
          <w:r>
            <w:rPr>
              <w:rFonts w:hint="default" w:ascii="Times New Roman" w:hAnsi="Times New Roman" w:eastAsia="宋体" w:cs="Times New Roman"/>
              <w:bCs/>
              <w:color w:val="auto"/>
              <w:spacing w:val="-5"/>
              <w:sz w:val="28"/>
              <w:szCs w:val="28"/>
              <w:highlight w:val="none"/>
              <w:u w:val="none"/>
            </w:rPr>
            <w:t>方法</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_Toc5789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5</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1"/>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_Toc8618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2"/>
              <w:sz w:val="28"/>
              <w:szCs w:val="28"/>
              <w:highlight w:val="none"/>
              <w:u w:val="none"/>
              <w:lang w:val="en-US" w:eastAsia="zh-CN"/>
            </w:rPr>
            <w:t>5</w:t>
          </w:r>
          <w:r>
            <w:rPr>
              <w:rFonts w:hint="default" w:ascii="Times New Roman" w:hAnsi="Times New Roman" w:eastAsia="宋体" w:cs="Times New Roman"/>
              <w:bCs/>
              <w:color w:val="auto"/>
              <w:spacing w:val="-2"/>
              <w:sz w:val="28"/>
              <w:szCs w:val="28"/>
              <w:highlight w:val="none"/>
              <w:u w:val="none"/>
            </w:rPr>
            <w:t xml:space="preserve">.3 </w:t>
          </w:r>
          <w:r>
            <w:rPr>
              <w:rFonts w:hint="eastAsia" w:ascii="Times New Roman" w:hAnsi="Times New Roman" w:eastAsia="宋体" w:cs="Times New Roman"/>
              <w:bCs/>
              <w:color w:val="auto"/>
              <w:spacing w:val="-2"/>
              <w:sz w:val="28"/>
              <w:szCs w:val="28"/>
              <w:highlight w:val="none"/>
              <w:u w:val="none"/>
              <w:lang w:val="en-US" w:eastAsia="zh-CN"/>
            </w:rPr>
            <w:t xml:space="preserve">   </w:t>
          </w:r>
          <w:r>
            <w:rPr>
              <w:rFonts w:hint="default" w:ascii="Times New Roman" w:hAnsi="Times New Roman" w:eastAsia="宋体" w:cs="Times New Roman"/>
              <w:bCs/>
              <w:color w:val="auto"/>
              <w:spacing w:val="-2"/>
              <w:sz w:val="28"/>
              <w:szCs w:val="28"/>
              <w:highlight w:val="none"/>
              <w:u w:val="none"/>
            </w:rPr>
            <w:t>基本内容</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_Toc8618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5</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0"/>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_Toc15708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3"/>
              <w:sz w:val="28"/>
              <w:szCs w:val="28"/>
              <w:highlight w:val="none"/>
              <w:u w:val="none"/>
              <w:lang w:val="en-US" w:eastAsia="zh-CN"/>
            </w:rPr>
            <w:t xml:space="preserve">6  </w:t>
          </w:r>
          <w:r>
            <w:rPr>
              <w:rFonts w:hint="eastAsia" w:ascii="Times New Roman" w:hAnsi="Times New Roman" w:eastAsia="宋体" w:cs="Times New Roman"/>
              <w:bCs/>
              <w:color w:val="auto"/>
              <w:spacing w:val="3"/>
              <w:sz w:val="28"/>
              <w:szCs w:val="28"/>
              <w:highlight w:val="none"/>
              <w:u w:val="none"/>
              <w:lang w:val="en-US" w:eastAsia="zh-CN"/>
            </w:rPr>
            <w:t xml:space="preserve">  </w:t>
          </w:r>
          <w:r>
            <w:rPr>
              <w:rFonts w:hint="eastAsia" w:ascii="Times New Roman" w:hAnsi="Times New Roman" w:eastAsia="宋体" w:cs="Times New Roman"/>
              <w:bCs/>
              <w:color w:val="auto"/>
              <w:spacing w:val="6"/>
              <w:sz w:val="28"/>
              <w:szCs w:val="28"/>
              <w:highlight w:val="none"/>
              <w:u w:val="none"/>
              <w:lang w:val="en-US" w:eastAsia="zh-CN"/>
            </w:rPr>
            <w:t>检查与</w:t>
          </w:r>
          <w:r>
            <w:rPr>
              <w:rFonts w:hint="default" w:ascii="Times New Roman" w:hAnsi="Times New Roman" w:eastAsia="宋体" w:cs="Times New Roman"/>
              <w:bCs/>
              <w:color w:val="auto"/>
              <w:spacing w:val="3"/>
              <w:sz w:val="28"/>
              <w:szCs w:val="28"/>
              <w:highlight w:val="none"/>
              <w:u w:val="none"/>
            </w:rPr>
            <w:t>评价材料要求</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_Toc15708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6</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1"/>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_Toc3750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2"/>
              <w:sz w:val="28"/>
              <w:szCs w:val="28"/>
              <w:highlight w:val="none"/>
              <w:u w:val="none"/>
              <w:lang w:val="en-US" w:eastAsia="zh-CN"/>
            </w:rPr>
            <w:t>6</w:t>
          </w:r>
          <w:r>
            <w:rPr>
              <w:rFonts w:hint="default" w:ascii="Times New Roman" w:hAnsi="Times New Roman" w:eastAsia="宋体" w:cs="Times New Roman"/>
              <w:bCs/>
              <w:color w:val="auto"/>
              <w:spacing w:val="-2"/>
              <w:sz w:val="28"/>
              <w:szCs w:val="28"/>
              <w:highlight w:val="none"/>
              <w:u w:val="none"/>
            </w:rPr>
            <w:t xml:space="preserve">.1  </w:t>
          </w:r>
          <w:r>
            <w:rPr>
              <w:rFonts w:hint="eastAsia" w:ascii="Times New Roman" w:hAnsi="Times New Roman" w:eastAsia="宋体" w:cs="Times New Roman"/>
              <w:bCs/>
              <w:color w:val="auto"/>
              <w:spacing w:val="-2"/>
              <w:sz w:val="28"/>
              <w:szCs w:val="28"/>
              <w:highlight w:val="none"/>
              <w:u w:val="none"/>
              <w:lang w:val="en-US" w:eastAsia="zh-CN"/>
            </w:rPr>
            <w:t xml:space="preserve">  </w:t>
          </w:r>
          <w:r>
            <w:rPr>
              <w:rFonts w:hint="default" w:ascii="Times New Roman" w:hAnsi="Times New Roman" w:eastAsia="宋体" w:cs="Times New Roman"/>
              <w:bCs/>
              <w:color w:val="auto"/>
              <w:spacing w:val="-2"/>
              <w:sz w:val="28"/>
              <w:szCs w:val="28"/>
              <w:highlight w:val="none"/>
              <w:u w:val="none"/>
            </w:rPr>
            <w:t>项目</w:t>
          </w:r>
          <w:r>
            <w:rPr>
              <w:rFonts w:hint="eastAsia" w:ascii="Times New Roman" w:hAnsi="Times New Roman" w:eastAsia="宋体" w:cs="Times New Roman"/>
              <w:bCs/>
              <w:color w:val="auto"/>
              <w:spacing w:val="-2"/>
              <w:sz w:val="28"/>
              <w:szCs w:val="28"/>
              <w:highlight w:val="none"/>
              <w:u w:val="none"/>
              <w:lang w:eastAsia="zh-CN"/>
            </w:rPr>
            <w:t>可行性研究报告专项</w:t>
          </w:r>
          <w:r>
            <w:rPr>
              <w:rFonts w:hint="default" w:ascii="Times New Roman" w:hAnsi="Times New Roman" w:eastAsia="宋体" w:cs="Times New Roman"/>
              <w:bCs/>
              <w:color w:val="auto"/>
              <w:spacing w:val="-2"/>
              <w:sz w:val="28"/>
              <w:szCs w:val="28"/>
              <w:highlight w:val="none"/>
              <w:u w:val="none"/>
            </w:rPr>
            <w:t>资料</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_Toc3750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6</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1"/>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_Toc23762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2"/>
              <w:sz w:val="28"/>
              <w:szCs w:val="28"/>
              <w:highlight w:val="none"/>
              <w:u w:val="none"/>
              <w:lang w:val="en-US" w:eastAsia="zh-CN"/>
            </w:rPr>
            <w:t>6</w:t>
          </w:r>
          <w:r>
            <w:rPr>
              <w:rFonts w:hint="default" w:ascii="Times New Roman" w:hAnsi="Times New Roman" w:eastAsia="宋体" w:cs="Times New Roman"/>
              <w:bCs/>
              <w:color w:val="auto"/>
              <w:spacing w:val="-2"/>
              <w:sz w:val="28"/>
              <w:szCs w:val="28"/>
              <w:highlight w:val="none"/>
              <w:u w:val="none"/>
            </w:rPr>
            <w:t xml:space="preserve">.2  </w:t>
          </w:r>
          <w:r>
            <w:rPr>
              <w:rFonts w:hint="eastAsia" w:ascii="Times New Roman" w:hAnsi="Times New Roman" w:eastAsia="宋体" w:cs="Times New Roman"/>
              <w:bCs/>
              <w:color w:val="auto"/>
              <w:spacing w:val="-2"/>
              <w:sz w:val="28"/>
              <w:szCs w:val="28"/>
              <w:highlight w:val="none"/>
              <w:u w:val="none"/>
              <w:lang w:val="en-US" w:eastAsia="zh-CN"/>
            </w:rPr>
            <w:t xml:space="preserve">  </w:t>
          </w:r>
          <w:r>
            <w:rPr>
              <w:rFonts w:hint="default" w:ascii="Times New Roman" w:hAnsi="Times New Roman" w:eastAsia="宋体" w:cs="Times New Roman"/>
              <w:bCs/>
              <w:color w:val="auto"/>
              <w:spacing w:val="-2"/>
              <w:sz w:val="28"/>
              <w:szCs w:val="28"/>
              <w:highlight w:val="none"/>
              <w:u w:val="none"/>
            </w:rPr>
            <w:t>项目</w:t>
          </w:r>
          <w:r>
            <w:rPr>
              <w:rFonts w:hint="default" w:ascii="Times New Roman" w:hAnsi="Times New Roman" w:eastAsia="宋体" w:cs="Times New Roman"/>
              <w:bCs/>
              <w:color w:val="auto"/>
              <w:spacing w:val="-2"/>
              <w:sz w:val="28"/>
              <w:szCs w:val="28"/>
              <w:highlight w:val="none"/>
              <w:u w:val="none"/>
              <w:lang w:eastAsia="zh-CN"/>
            </w:rPr>
            <w:t>设计</w:t>
          </w:r>
          <w:r>
            <w:rPr>
              <w:rFonts w:hint="default" w:ascii="Times New Roman" w:hAnsi="Times New Roman" w:eastAsia="宋体" w:cs="Times New Roman"/>
              <w:bCs/>
              <w:color w:val="auto"/>
              <w:spacing w:val="-2"/>
              <w:sz w:val="28"/>
              <w:szCs w:val="28"/>
              <w:highlight w:val="none"/>
              <w:u w:val="none"/>
            </w:rPr>
            <w:t>专项资料</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_Toc23762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7</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1"/>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_Toc24224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2"/>
              <w:sz w:val="28"/>
              <w:szCs w:val="28"/>
              <w:highlight w:val="none"/>
              <w:u w:val="none"/>
              <w:lang w:val="en-US" w:eastAsia="zh-CN"/>
            </w:rPr>
            <w:t>6</w:t>
          </w:r>
          <w:r>
            <w:rPr>
              <w:rFonts w:hint="default" w:ascii="Times New Roman" w:hAnsi="Times New Roman" w:eastAsia="宋体" w:cs="Times New Roman"/>
              <w:bCs/>
              <w:color w:val="auto"/>
              <w:spacing w:val="-2"/>
              <w:sz w:val="28"/>
              <w:szCs w:val="28"/>
              <w:highlight w:val="none"/>
              <w:u w:val="none"/>
            </w:rPr>
            <w:t>.</w:t>
          </w:r>
          <w:r>
            <w:rPr>
              <w:rFonts w:hint="default" w:ascii="Times New Roman" w:hAnsi="Times New Roman" w:eastAsia="宋体" w:cs="Times New Roman"/>
              <w:bCs/>
              <w:color w:val="auto"/>
              <w:spacing w:val="-2"/>
              <w:sz w:val="28"/>
              <w:szCs w:val="28"/>
              <w:highlight w:val="none"/>
              <w:u w:val="none"/>
              <w:lang w:val="en-US" w:eastAsia="zh-CN"/>
            </w:rPr>
            <w:t>3</w:t>
          </w:r>
          <w:r>
            <w:rPr>
              <w:rFonts w:hint="default" w:ascii="Times New Roman" w:hAnsi="Times New Roman" w:eastAsia="宋体" w:cs="Times New Roman"/>
              <w:bCs/>
              <w:color w:val="auto"/>
              <w:spacing w:val="-2"/>
              <w:sz w:val="28"/>
              <w:szCs w:val="28"/>
              <w:highlight w:val="none"/>
              <w:u w:val="none"/>
            </w:rPr>
            <w:t xml:space="preserve">  </w:t>
          </w:r>
          <w:r>
            <w:rPr>
              <w:rFonts w:hint="eastAsia" w:ascii="Times New Roman" w:hAnsi="Times New Roman" w:eastAsia="宋体" w:cs="Times New Roman"/>
              <w:bCs/>
              <w:color w:val="auto"/>
              <w:spacing w:val="-2"/>
              <w:sz w:val="28"/>
              <w:szCs w:val="28"/>
              <w:highlight w:val="none"/>
              <w:u w:val="none"/>
              <w:lang w:val="en-US" w:eastAsia="zh-CN"/>
            </w:rPr>
            <w:t xml:space="preserve">  </w:t>
          </w:r>
          <w:r>
            <w:rPr>
              <w:rFonts w:hint="default" w:ascii="Times New Roman" w:hAnsi="Times New Roman" w:eastAsia="宋体" w:cs="Times New Roman"/>
              <w:bCs/>
              <w:color w:val="auto"/>
              <w:spacing w:val="-2"/>
              <w:sz w:val="28"/>
              <w:szCs w:val="28"/>
              <w:highlight w:val="none"/>
              <w:u w:val="none"/>
            </w:rPr>
            <w:t>项目验收专项资料</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_Toc24224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8</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0"/>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_Toc15600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2"/>
              <w:sz w:val="28"/>
              <w:szCs w:val="28"/>
              <w:highlight w:val="none"/>
              <w:u w:val="none"/>
              <w:lang w:val="en-US" w:eastAsia="zh-CN"/>
            </w:rPr>
            <w:t xml:space="preserve">7  </w:t>
          </w:r>
          <w:r>
            <w:rPr>
              <w:rFonts w:hint="eastAsia" w:ascii="Times New Roman" w:hAnsi="Times New Roman" w:eastAsia="宋体" w:cs="Times New Roman"/>
              <w:bCs/>
              <w:color w:val="auto"/>
              <w:spacing w:val="2"/>
              <w:sz w:val="28"/>
              <w:szCs w:val="28"/>
              <w:highlight w:val="none"/>
              <w:u w:val="none"/>
              <w:lang w:val="en-US" w:eastAsia="zh-CN"/>
            </w:rPr>
            <w:t xml:space="preserve"> </w:t>
          </w:r>
          <w:r>
            <w:rPr>
              <w:rFonts w:hint="default" w:ascii="Times New Roman" w:hAnsi="Times New Roman" w:eastAsia="宋体" w:cs="Times New Roman"/>
              <w:bCs/>
              <w:color w:val="auto"/>
              <w:spacing w:val="2"/>
              <w:sz w:val="28"/>
              <w:szCs w:val="28"/>
              <w:highlight w:val="none"/>
              <w:u w:val="none"/>
            </w:rPr>
            <w:t>评价要点</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_Toc15600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9</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1"/>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_Toc15559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2"/>
              <w:sz w:val="28"/>
              <w:szCs w:val="28"/>
              <w:highlight w:val="none"/>
              <w:u w:val="none"/>
              <w:lang w:val="en-US" w:eastAsia="zh-CN"/>
            </w:rPr>
            <w:t>7</w:t>
          </w:r>
          <w:r>
            <w:rPr>
              <w:rFonts w:hint="default" w:ascii="Times New Roman" w:hAnsi="Times New Roman" w:eastAsia="宋体" w:cs="Times New Roman"/>
              <w:bCs/>
              <w:color w:val="auto"/>
              <w:spacing w:val="-2"/>
              <w:sz w:val="28"/>
              <w:szCs w:val="28"/>
              <w:highlight w:val="none"/>
              <w:u w:val="none"/>
            </w:rPr>
            <w:t xml:space="preserve">.1  </w:t>
          </w:r>
          <w:r>
            <w:rPr>
              <w:rFonts w:hint="eastAsia" w:ascii="Times New Roman" w:hAnsi="Times New Roman" w:eastAsia="宋体" w:cs="Times New Roman"/>
              <w:bCs/>
              <w:color w:val="auto"/>
              <w:spacing w:val="-2"/>
              <w:sz w:val="28"/>
              <w:szCs w:val="28"/>
              <w:highlight w:val="none"/>
              <w:u w:val="none"/>
              <w:lang w:val="en-US" w:eastAsia="zh-CN"/>
            </w:rPr>
            <w:t xml:space="preserve">  </w:t>
          </w:r>
          <w:r>
            <w:rPr>
              <w:rFonts w:hint="default" w:ascii="Times New Roman" w:hAnsi="Times New Roman" w:eastAsia="宋体" w:cs="Times New Roman"/>
              <w:bCs/>
              <w:color w:val="auto"/>
              <w:spacing w:val="-2"/>
              <w:sz w:val="28"/>
              <w:szCs w:val="28"/>
              <w:highlight w:val="none"/>
              <w:u w:val="none"/>
            </w:rPr>
            <w:t>一般规定</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_Toc15559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9</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1"/>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_Toc23328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2"/>
              <w:sz w:val="28"/>
              <w:szCs w:val="28"/>
              <w:highlight w:val="none"/>
              <w:u w:val="none"/>
              <w:lang w:val="en-US" w:eastAsia="zh-CN"/>
            </w:rPr>
            <w:t>7</w:t>
          </w:r>
          <w:r>
            <w:rPr>
              <w:rFonts w:hint="default" w:ascii="Times New Roman" w:hAnsi="Times New Roman" w:eastAsia="宋体" w:cs="Times New Roman"/>
              <w:bCs/>
              <w:color w:val="auto"/>
              <w:spacing w:val="-2"/>
              <w:sz w:val="28"/>
              <w:szCs w:val="28"/>
              <w:highlight w:val="none"/>
              <w:u w:val="none"/>
            </w:rPr>
            <w:t xml:space="preserve">.2  </w:t>
          </w:r>
          <w:r>
            <w:rPr>
              <w:rFonts w:hint="default" w:ascii="Times New Roman" w:hAnsi="Times New Roman" w:eastAsia="宋体" w:cs="Times New Roman"/>
              <w:bCs/>
              <w:color w:val="auto"/>
              <w:spacing w:val="-2"/>
              <w:sz w:val="28"/>
              <w:szCs w:val="28"/>
              <w:highlight w:val="none"/>
              <w:u w:val="none"/>
              <w:lang w:val="en-US" w:eastAsia="zh-CN"/>
            </w:rPr>
            <w:t xml:space="preserve"> </w:t>
          </w:r>
          <w:r>
            <w:rPr>
              <w:rFonts w:hint="eastAsia" w:ascii="Times New Roman" w:hAnsi="Times New Roman" w:eastAsia="宋体" w:cs="Times New Roman"/>
              <w:bCs/>
              <w:color w:val="auto"/>
              <w:spacing w:val="-2"/>
              <w:sz w:val="28"/>
              <w:szCs w:val="28"/>
              <w:highlight w:val="none"/>
              <w:u w:val="none"/>
              <w:lang w:val="en-US" w:eastAsia="zh-CN"/>
            </w:rPr>
            <w:t xml:space="preserve"> </w:t>
          </w:r>
          <w:r>
            <w:rPr>
              <w:rFonts w:hint="default" w:ascii="Times New Roman" w:hAnsi="Times New Roman" w:eastAsia="宋体" w:cs="Times New Roman"/>
              <w:bCs/>
              <w:color w:val="auto"/>
              <w:spacing w:val="-2"/>
              <w:sz w:val="28"/>
              <w:szCs w:val="28"/>
              <w:highlight w:val="none"/>
              <w:u w:val="none"/>
              <w:lang w:eastAsia="zh-CN"/>
            </w:rPr>
            <w:t>绿色建材</w:t>
          </w:r>
          <w:r>
            <w:rPr>
              <w:rFonts w:hint="default" w:ascii="Times New Roman" w:hAnsi="Times New Roman" w:eastAsia="宋体" w:cs="Times New Roman"/>
              <w:bCs/>
              <w:color w:val="auto"/>
              <w:spacing w:val="-2"/>
              <w:sz w:val="28"/>
              <w:szCs w:val="28"/>
              <w:highlight w:val="none"/>
              <w:u w:val="none"/>
            </w:rPr>
            <w:t>应用</w:t>
          </w:r>
          <w:r>
            <w:rPr>
              <w:rFonts w:hint="default" w:ascii="Times New Roman" w:hAnsi="Times New Roman" w:eastAsia="宋体" w:cs="Times New Roman"/>
              <w:bCs/>
              <w:color w:val="auto"/>
              <w:spacing w:val="-2"/>
              <w:sz w:val="28"/>
              <w:szCs w:val="28"/>
              <w:highlight w:val="none"/>
              <w:u w:val="none"/>
              <w:lang w:eastAsia="zh-CN"/>
            </w:rPr>
            <w:t>评价</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_Toc23328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9</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0"/>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_Toc7146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3"/>
              <w:sz w:val="28"/>
              <w:szCs w:val="28"/>
              <w:highlight w:val="none"/>
              <w:u w:val="none"/>
              <w:lang w:val="en-US" w:eastAsia="zh-CN"/>
            </w:rPr>
            <w:t xml:space="preserve">8 </w:t>
          </w:r>
          <w:r>
            <w:rPr>
              <w:rFonts w:hint="default" w:ascii="Times New Roman" w:hAnsi="Times New Roman" w:eastAsia="宋体" w:cs="Times New Roman"/>
              <w:bCs/>
              <w:color w:val="auto"/>
              <w:spacing w:val="20"/>
              <w:w w:val="101"/>
              <w:sz w:val="28"/>
              <w:szCs w:val="28"/>
              <w:highlight w:val="none"/>
              <w:u w:val="none"/>
            </w:rPr>
            <w:t xml:space="preserve"> </w:t>
          </w:r>
          <w:r>
            <w:rPr>
              <w:rFonts w:hint="eastAsia" w:ascii="Times New Roman" w:hAnsi="Times New Roman" w:eastAsia="宋体" w:cs="Times New Roman"/>
              <w:bCs/>
              <w:color w:val="auto"/>
              <w:spacing w:val="20"/>
              <w:w w:val="101"/>
              <w:sz w:val="28"/>
              <w:szCs w:val="28"/>
              <w:highlight w:val="none"/>
              <w:u w:val="none"/>
              <w:lang w:val="en-US" w:eastAsia="zh-CN"/>
            </w:rPr>
            <w:t xml:space="preserve"> </w:t>
          </w:r>
          <w:r>
            <w:rPr>
              <w:rFonts w:hint="default" w:ascii="Times New Roman" w:hAnsi="Times New Roman" w:eastAsia="宋体" w:cs="Times New Roman"/>
              <w:bCs/>
              <w:color w:val="auto"/>
              <w:spacing w:val="3"/>
              <w:sz w:val="28"/>
              <w:szCs w:val="28"/>
              <w:highlight w:val="none"/>
              <w:u w:val="none"/>
              <w:lang w:eastAsia="zh-CN"/>
            </w:rPr>
            <w:t>应用项目</w:t>
          </w:r>
          <w:r>
            <w:rPr>
              <w:rFonts w:hint="default" w:ascii="Times New Roman" w:hAnsi="Times New Roman" w:eastAsia="宋体" w:cs="Times New Roman"/>
              <w:bCs/>
              <w:color w:val="auto"/>
              <w:spacing w:val="3"/>
              <w:sz w:val="28"/>
              <w:szCs w:val="28"/>
              <w:highlight w:val="none"/>
              <w:u w:val="none"/>
            </w:rPr>
            <w:t>评价</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_Toc7146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10</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1"/>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_Toc26047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5"/>
              <w:sz w:val="28"/>
              <w:szCs w:val="28"/>
              <w:highlight w:val="none"/>
              <w:u w:val="none"/>
              <w:lang w:val="en-US" w:eastAsia="zh-CN"/>
            </w:rPr>
            <w:t>8</w:t>
          </w:r>
          <w:r>
            <w:rPr>
              <w:rFonts w:hint="default" w:ascii="Times New Roman" w:hAnsi="Times New Roman" w:eastAsia="宋体" w:cs="Times New Roman"/>
              <w:bCs/>
              <w:color w:val="auto"/>
              <w:spacing w:val="-5"/>
              <w:sz w:val="28"/>
              <w:szCs w:val="28"/>
              <w:highlight w:val="none"/>
              <w:u w:val="none"/>
            </w:rPr>
            <w:t>.1</w:t>
          </w:r>
          <w:r>
            <w:rPr>
              <w:rFonts w:hint="default" w:ascii="Times New Roman" w:hAnsi="Times New Roman" w:eastAsia="宋体" w:cs="Times New Roman"/>
              <w:bCs/>
              <w:color w:val="auto"/>
              <w:spacing w:val="7"/>
              <w:sz w:val="28"/>
              <w:szCs w:val="28"/>
              <w:highlight w:val="none"/>
              <w:u w:val="none"/>
            </w:rPr>
            <w:t xml:space="preserve">  </w:t>
          </w:r>
          <w:r>
            <w:rPr>
              <w:rFonts w:hint="eastAsia" w:ascii="Times New Roman" w:hAnsi="Times New Roman" w:eastAsia="宋体" w:cs="Times New Roman"/>
              <w:bCs/>
              <w:color w:val="auto"/>
              <w:spacing w:val="7"/>
              <w:sz w:val="28"/>
              <w:szCs w:val="28"/>
              <w:highlight w:val="none"/>
              <w:u w:val="none"/>
              <w:lang w:val="en-US" w:eastAsia="zh-CN"/>
            </w:rPr>
            <w:t xml:space="preserve">  </w:t>
          </w:r>
          <w:r>
            <w:rPr>
              <w:rFonts w:hint="default" w:ascii="Times New Roman" w:hAnsi="Times New Roman" w:eastAsia="宋体" w:cs="Times New Roman"/>
              <w:bCs/>
              <w:color w:val="auto"/>
              <w:spacing w:val="-5"/>
              <w:sz w:val="28"/>
              <w:szCs w:val="28"/>
              <w:highlight w:val="none"/>
              <w:u w:val="none"/>
            </w:rPr>
            <w:t>一般规定</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_Toc26047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10</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0"/>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color w:val="auto"/>
              <w:sz w:val="28"/>
              <w:szCs w:val="28"/>
              <w:u w:val="none"/>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_Toc1173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3"/>
              <w:sz w:val="28"/>
              <w:szCs w:val="28"/>
              <w:highlight w:val="none"/>
              <w:u w:val="none"/>
            </w:rPr>
            <w:t>附录</w:t>
          </w:r>
          <w:r>
            <w:rPr>
              <w:rFonts w:hint="default" w:ascii="Times New Roman" w:hAnsi="Times New Roman" w:eastAsia="宋体" w:cs="Times New Roman"/>
              <w:color w:val="auto"/>
              <w:spacing w:val="-89"/>
              <w:sz w:val="28"/>
              <w:szCs w:val="28"/>
              <w:highlight w:val="none"/>
              <w:u w:val="none"/>
            </w:rPr>
            <w:t xml:space="preserve"> </w:t>
          </w:r>
          <w:r>
            <w:rPr>
              <w:rFonts w:hint="default" w:ascii="Times New Roman" w:hAnsi="Times New Roman" w:eastAsia="宋体" w:cs="Times New Roman"/>
              <w:bCs/>
              <w:color w:val="auto"/>
              <w:spacing w:val="3"/>
              <w:sz w:val="28"/>
              <w:szCs w:val="28"/>
              <w:highlight w:val="none"/>
              <w:u w:val="none"/>
            </w:rPr>
            <w:t>A</w:t>
          </w:r>
          <w:r>
            <w:rPr>
              <w:rFonts w:hint="default" w:ascii="Times New Roman" w:hAnsi="Times New Roman" w:eastAsia="宋体" w:cs="Times New Roman"/>
              <w:color w:val="auto"/>
              <w:sz w:val="28"/>
              <w:szCs w:val="28"/>
              <w:u w:val="none"/>
            </w:rPr>
            <w:tab/>
          </w:r>
          <w:r>
            <w:rPr>
              <w:rFonts w:hint="default" w:ascii="Times New Roman" w:hAnsi="Times New Roman" w:eastAsia="宋体" w:cs="Times New Roman"/>
              <w:color w:val="auto"/>
              <w:sz w:val="28"/>
              <w:szCs w:val="28"/>
              <w:u w:val="none"/>
            </w:rPr>
            <w:fldChar w:fldCharType="begin"/>
          </w:r>
          <w:r>
            <w:rPr>
              <w:rFonts w:hint="default" w:ascii="Times New Roman" w:hAnsi="Times New Roman" w:eastAsia="宋体" w:cs="Times New Roman"/>
              <w:color w:val="auto"/>
              <w:sz w:val="28"/>
              <w:szCs w:val="28"/>
              <w:u w:val="none"/>
            </w:rPr>
            <w:instrText xml:space="preserve"> PAGEREF _Toc1173 \h </w:instrText>
          </w:r>
          <w:r>
            <w:rPr>
              <w:rFonts w:hint="default" w:ascii="Times New Roman" w:hAnsi="Times New Roman" w:eastAsia="宋体" w:cs="Times New Roman"/>
              <w:color w:val="auto"/>
              <w:sz w:val="28"/>
              <w:szCs w:val="28"/>
              <w:u w:val="none"/>
            </w:rPr>
            <w:fldChar w:fldCharType="separate"/>
          </w:r>
          <w:r>
            <w:rPr>
              <w:rFonts w:hint="default" w:ascii="Times New Roman" w:hAnsi="Times New Roman" w:eastAsia="宋体" w:cs="Times New Roman"/>
              <w:color w:val="auto"/>
              <w:sz w:val="28"/>
              <w:szCs w:val="28"/>
              <w:u w:val="none"/>
            </w:rPr>
            <w:t>11</w:t>
          </w:r>
          <w:r>
            <w:rPr>
              <w:rFonts w:hint="default" w:ascii="Times New Roman" w:hAnsi="Times New Roman" w:eastAsia="宋体" w:cs="Times New Roman"/>
              <w:color w:val="auto"/>
              <w:sz w:val="28"/>
              <w:szCs w:val="28"/>
              <w:u w:val="none"/>
            </w:rPr>
            <w:fldChar w:fldCharType="end"/>
          </w:r>
          <w:r>
            <w:rPr>
              <w:rFonts w:hint="default" w:ascii="Times New Roman" w:hAnsi="Times New Roman" w:eastAsia="宋体" w:cs="Times New Roman"/>
              <w:color w:val="auto"/>
              <w:sz w:val="28"/>
              <w:szCs w:val="28"/>
              <w:highlight w:val="none"/>
              <w:u w:val="none"/>
            </w:rPr>
            <w:fldChar w:fldCharType="end"/>
          </w:r>
        </w:p>
        <w:p>
          <w:pPr>
            <w:pStyle w:val="10"/>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eastAsia" w:ascii="Times New Roman" w:hAnsi="Times New Roman" w:eastAsia="宋体" w:cs="Times New Roman"/>
              <w:color w:val="auto"/>
              <w:sz w:val="28"/>
              <w:szCs w:val="28"/>
              <w:u w:val="none"/>
              <w:lang w:val="en-US" w:eastAsia="zh-CN"/>
            </w:rPr>
          </w:pPr>
          <w:r>
            <w:rPr>
              <w:rFonts w:hint="default" w:ascii="Times New Roman" w:hAnsi="Times New Roman" w:eastAsia="宋体" w:cs="Times New Roman"/>
              <w:color w:val="auto"/>
              <w:sz w:val="28"/>
              <w:szCs w:val="28"/>
              <w:highlight w:val="none"/>
              <w:u w:val="none"/>
            </w:rPr>
            <w:fldChar w:fldCharType="begin"/>
          </w:r>
          <w:r>
            <w:rPr>
              <w:rFonts w:hint="default" w:ascii="Times New Roman" w:hAnsi="Times New Roman" w:eastAsia="宋体" w:cs="Times New Roman"/>
              <w:color w:val="auto"/>
              <w:sz w:val="28"/>
              <w:szCs w:val="28"/>
              <w:highlight w:val="none"/>
              <w:u w:val="none"/>
            </w:rPr>
            <w:instrText xml:space="preserve"> HYPERLINK \l _Toc4162 </w:instrText>
          </w:r>
          <w:r>
            <w:rPr>
              <w:rFonts w:hint="default" w:ascii="Times New Roman" w:hAnsi="Times New Roman" w:eastAsia="宋体" w:cs="Times New Roman"/>
              <w:color w:val="auto"/>
              <w:sz w:val="28"/>
              <w:szCs w:val="28"/>
              <w:highlight w:val="none"/>
              <w:u w:val="none"/>
            </w:rPr>
            <w:fldChar w:fldCharType="separate"/>
          </w:r>
          <w:r>
            <w:rPr>
              <w:rFonts w:hint="default" w:ascii="Times New Roman" w:hAnsi="Times New Roman" w:eastAsia="宋体" w:cs="Times New Roman"/>
              <w:bCs/>
              <w:color w:val="auto"/>
              <w:spacing w:val="3"/>
              <w:sz w:val="28"/>
              <w:szCs w:val="28"/>
              <w:highlight w:val="none"/>
              <w:u w:val="none"/>
            </w:rPr>
            <w:t>附录</w:t>
          </w:r>
          <w:r>
            <w:rPr>
              <w:rFonts w:hint="default" w:ascii="Times New Roman" w:hAnsi="Times New Roman" w:eastAsia="宋体" w:cs="Times New Roman"/>
              <w:bCs/>
              <w:color w:val="auto"/>
              <w:spacing w:val="3"/>
              <w:sz w:val="28"/>
              <w:szCs w:val="28"/>
              <w:highlight w:val="none"/>
              <w:u w:val="none"/>
              <w:lang w:val="en-US" w:eastAsia="zh-CN"/>
            </w:rPr>
            <w:t>B</w:t>
          </w:r>
          <w:r>
            <w:rPr>
              <w:rFonts w:hint="default" w:ascii="Times New Roman" w:hAnsi="Times New Roman" w:eastAsia="宋体" w:cs="Times New Roman"/>
              <w:color w:val="auto"/>
              <w:sz w:val="28"/>
              <w:szCs w:val="28"/>
              <w:u w:val="none"/>
            </w:rPr>
            <w:tab/>
          </w:r>
          <w:r>
            <w:rPr>
              <w:rFonts w:hint="eastAsia" w:ascii="Times New Roman" w:hAnsi="Times New Roman" w:eastAsia="宋体" w:cs="Times New Roman"/>
              <w:color w:val="auto"/>
              <w:sz w:val="28"/>
              <w:szCs w:val="28"/>
              <w:u w:val="none"/>
              <w:lang w:val="en-US" w:eastAsia="zh-CN"/>
            </w:rPr>
            <w:t>1</w:t>
          </w:r>
          <w:r>
            <w:rPr>
              <w:rFonts w:hint="default" w:ascii="Times New Roman" w:hAnsi="Times New Roman" w:eastAsia="宋体" w:cs="Times New Roman"/>
              <w:color w:val="auto"/>
              <w:sz w:val="28"/>
              <w:szCs w:val="28"/>
              <w:highlight w:val="none"/>
              <w:u w:val="none"/>
            </w:rPr>
            <w:fldChar w:fldCharType="end"/>
          </w:r>
          <w:r>
            <w:rPr>
              <w:rFonts w:hint="eastAsia" w:ascii="Times New Roman" w:hAnsi="Times New Roman" w:eastAsia="宋体" w:cs="Times New Roman"/>
              <w:color w:val="auto"/>
              <w:sz w:val="28"/>
              <w:szCs w:val="28"/>
              <w:highlight w:val="none"/>
              <w:u w:val="none"/>
              <w:lang w:val="en-US" w:eastAsia="zh-CN"/>
            </w:rPr>
            <w:t>4</w:t>
          </w:r>
        </w:p>
        <w:p>
          <w:pPr>
            <w:pStyle w:val="10"/>
            <w:keepNext w:val="0"/>
            <w:keepLines w:val="0"/>
            <w:pageBreakBefore w:val="0"/>
            <w:widowControl/>
            <w:tabs>
              <w:tab w:val="right" w:leader="dot" w:pos="8836"/>
            </w:tabs>
            <w:kinsoku/>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bCs/>
              <w:color w:val="auto"/>
              <w:spacing w:val="-8"/>
              <w:sz w:val="28"/>
              <w:szCs w:val="28"/>
              <w:highlight w:val="none"/>
            </w:rPr>
            <w:sectPr>
              <w:pgSz w:w="11906" w:h="16839"/>
              <w:pgMar w:top="1431" w:right="1473" w:bottom="1857" w:left="1597" w:header="0" w:footer="1692" w:gutter="0"/>
              <w:cols w:space="720" w:num="1"/>
            </w:sectPr>
          </w:pPr>
          <w:r>
            <w:rPr>
              <w:rFonts w:hint="default" w:ascii="Times New Roman" w:hAnsi="Times New Roman" w:eastAsia="宋体" w:cs="Times New Roman"/>
              <w:color w:val="auto"/>
              <w:sz w:val="28"/>
              <w:szCs w:val="28"/>
              <w:highlight w:val="none"/>
              <w:u w:val="none"/>
            </w:rPr>
            <w:fldChar w:fldCharType="end"/>
          </w:r>
          <w:bookmarkStart w:id="0" w:name="bookmark1"/>
          <w:bookmarkEnd w:id="0"/>
        </w:p>
      </w:sdtContent>
    </w:sdt>
    <w:p>
      <w:pPr>
        <w:keepNext w:val="0"/>
        <w:keepLines w:val="0"/>
        <w:pageBreakBefore w:val="0"/>
        <w:kinsoku/>
        <w:overflowPunct/>
        <w:topLinePunct w:val="0"/>
        <w:bidi w:val="0"/>
        <w:spacing w:before="100" w:line="225" w:lineRule="auto"/>
        <w:ind w:left="3953"/>
        <w:jc w:val="both"/>
        <w:outlineLvl w:val="0"/>
        <w:rPr>
          <w:rFonts w:hint="eastAsia" w:ascii="宋体" w:hAnsi="宋体" w:eastAsia="宋体" w:cs="宋体"/>
          <w:color w:val="auto"/>
          <w:sz w:val="32"/>
          <w:szCs w:val="32"/>
          <w:highlight w:val="none"/>
        </w:rPr>
      </w:pPr>
      <w:bookmarkStart w:id="1" w:name="_Toc20023"/>
      <w:r>
        <w:rPr>
          <w:rFonts w:hint="default" w:ascii="Times New Roman" w:hAnsi="Times New Roman" w:eastAsia="宋体" w:cs="Times New Roman"/>
          <w:b/>
          <w:bCs/>
          <w:color w:val="auto"/>
          <w:spacing w:val="-8"/>
          <w:sz w:val="32"/>
          <w:szCs w:val="32"/>
          <w:highlight w:val="none"/>
        </w:rPr>
        <w:t>1</w:t>
      </w:r>
      <w:r>
        <w:rPr>
          <w:rFonts w:hint="eastAsia" w:ascii="宋体" w:hAnsi="宋体" w:eastAsia="宋体" w:cs="宋体"/>
          <w:b/>
          <w:bCs/>
          <w:color w:val="auto"/>
          <w:spacing w:val="12"/>
          <w:sz w:val="32"/>
          <w:szCs w:val="32"/>
          <w:highlight w:val="none"/>
        </w:rPr>
        <w:t xml:space="preserve"> </w:t>
      </w:r>
      <w:r>
        <w:rPr>
          <w:rFonts w:hint="eastAsia" w:ascii="宋体" w:hAnsi="宋体" w:eastAsia="宋体" w:cs="宋体"/>
          <w:b/>
          <w:bCs/>
          <w:color w:val="auto"/>
          <w:spacing w:val="12"/>
          <w:sz w:val="32"/>
          <w:szCs w:val="32"/>
          <w:highlight w:val="none"/>
          <w:lang w:val="en-US" w:eastAsia="zh-CN"/>
        </w:rPr>
        <w:t xml:space="preserve"> </w:t>
      </w:r>
      <w:r>
        <w:rPr>
          <w:rFonts w:hint="eastAsia" w:ascii="宋体" w:hAnsi="宋体" w:eastAsia="宋体" w:cs="宋体"/>
          <w:b/>
          <w:bCs/>
          <w:color w:val="auto"/>
          <w:spacing w:val="-8"/>
          <w:sz w:val="32"/>
          <w:szCs w:val="32"/>
          <w:highlight w:val="none"/>
        </w:rPr>
        <w:t>总则</w:t>
      </w:r>
      <w:bookmarkEnd w:id="1"/>
    </w:p>
    <w:p>
      <w:pPr>
        <w:keepNext w:val="0"/>
        <w:keepLines w:val="0"/>
        <w:pageBreakBefore w:val="0"/>
        <w:kinsoku/>
        <w:overflowPunct/>
        <w:topLinePunct w:val="0"/>
        <w:bidi w:val="0"/>
        <w:spacing w:before="1" w:line="217" w:lineRule="auto"/>
        <w:ind w:left="1"/>
        <w:jc w:val="both"/>
        <w:rPr>
          <w:rFonts w:ascii="宋体" w:hAnsi="宋体" w:eastAsia="宋体" w:cs="宋体"/>
          <w:color w:val="auto"/>
          <w:sz w:val="24"/>
          <w:szCs w:val="24"/>
          <w:highlight w:val="none"/>
        </w:rPr>
      </w:pP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1.0.1</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为落实《中共中央国务院关于完整准确全面贯彻新发展理念做好碳达峰碳中和工作的意见》，</w:t>
      </w:r>
      <w:r>
        <w:rPr>
          <w:rFonts w:hint="eastAsia" w:ascii="宋体" w:hAnsi="宋体" w:eastAsia="宋体" w:cs="宋体"/>
          <w:snapToGrid w:val="0"/>
          <w:color w:val="auto"/>
          <w:spacing w:val="-3"/>
          <w:kern w:val="0"/>
          <w:position w:val="17"/>
          <w:sz w:val="28"/>
          <w:szCs w:val="28"/>
          <w:highlight w:val="none"/>
          <w:lang w:val="en-US" w:eastAsia="en-US" w:bidi="ar-SA"/>
        </w:rPr>
        <w:t>规范</w:t>
      </w:r>
      <w:r>
        <w:rPr>
          <w:rFonts w:hint="eastAsia" w:ascii="宋体" w:hAnsi="宋体" w:eastAsia="宋体" w:cs="宋体"/>
          <w:snapToGrid w:val="0"/>
          <w:color w:val="auto"/>
          <w:spacing w:val="-3"/>
          <w:kern w:val="0"/>
          <w:position w:val="17"/>
          <w:sz w:val="28"/>
          <w:szCs w:val="28"/>
          <w:highlight w:val="none"/>
          <w:lang w:val="en-US" w:eastAsia="zh-CN" w:bidi="ar-SA"/>
        </w:rPr>
        <w:t>福州</w:t>
      </w:r>
      <w:r>
        <w:rPr>
          <w:rFonts w:hint="eastAsia" w:ascii="宋体" w:hAnsi="宋体" w:eastAsia="宋体" w:cs="宋体"/>
          <w:snapToGrid w:val="0"/>
          <w:color w:val="auto"/>
          <w:spacing w:val="-3"/>
          <w:kern w:val="0"/>
          <w:position w:val="17"/>
          <w:sz w:val="28"/>
          <w:szCs w:val="28"/>
          <w:highlight w:val="none"/>
          <w:lang w:val="en-US" w:eastAsia="en-US" w:bidi="ar-SA"/>
        </w:rPr>
        <w:t>市绿色建材应用项目的</w:t>
      </w:r>
      <w:r>
        <w:rPr>
          <w:rFonts w:hint="eastAsia" w:ascii="宋体" w:hAnsi="宋体" w:eastAsia="宋体" w:cs="宋体"/>
          <w:snapToGrid w:val="0"/>
          <w:color w:val="auto"/>
          <w:spacing w:val="-3"/>
          <w:kern w:val="0"/>
          <w:position w:val="17"/>
          <w:sz w:val="28"/>
          <w:szCs w:val="28"/>
          <w:highlight w:val="none"/>
          <w:lang w:val="en-US" w:eastAsia="zh-CN" w:bidi="ar-SA"/>
        </w:rPr>
        <w:t>设计和</w:t>
      </w:r>
      <w:r>
        <w:rPr>
          <w:rFonts w:hint="eastAsia" w:ascii="宋体" w:hAnsi="宋体" w:eastAsia="宋体" w:cs="宋体"/>
          <w:snapToGrid w:val="0"/>
          <w:color w:val="auto"/>
          <w:spacing w:val="-3"/>
          <w:kern w:val="0"/>
          <w:position w:val="17"/>
          <w:sz w:val="28"/>
          <w:szCs w:val="28"/>
          <w:highlight w:val="none"/>
          <w:lang w:val="en-US" w:eastAsia="en-US" w:bidi="ar-SA"/>
        </w:rPr>
        <w:t>评价，制定本导则。</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ascii="宋体" w:hAnsi="宋体" w:eastAsia="宋体" w:cs="宋体"/>
          <w:b/>
          <w:bCs/>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 xml:space="preserve">1.0.2 </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ascii="宋体" w:hAnsi="宋体" w:eastAsia="宋体" w:cs="宋体"/>
          <w:snapToGrid w:val="0"/>
          <w:color w:val="auto"/>
          <w:spacing w:val="-3"/>
          <w:kern w:val="0"/>
          <w:position w:val="17"/>
          <w:sz w:val="28"/>
          <w:szCs w:val="28"/>
          <w:highlight w:val="none"/>
          <w:lang w:val="en-US" w:eastAsia="en-US" w:bidi="ar-SA"/>
        </w:rPr>
        <w:t>本导则适用于</w:t>
      </w:r>
      <w:r>
        <w:rPr>
          <w:rFonts w:hint="eastAsia" w:ascii="宋体" w:hAnsi="宋体" w:eastAsia="宋体" w:cs="宋体"/>
          <w:snapToGrid w:val="0"/>
          <w:color w:val="auto"/>
          <w:spacing w:val="-3"/>
          <w:kern w:val="0"/>
          <w:position w:val="17"/>
          <w:sz w:val="28"/>
          <w:szCs w:val="28"/>
          <w:highlight w:val="none"/>
          <w:lang w:val="en-US" w:eastAsia="zh-CN" w:bidi="ar-SA"/>
        </w:rPr>
        <w:t>福州市</w:t>
      </w:r>
      <w:r>
        <w:rPr>
          <w:rFonts w:ascii="宋体" w:hAnsi="宋体" w:eastAsia="宋体" w:cs="宋体"/>
          <w:snapToGrid w:val="0"/>
          <w:color w:val="auto"/>
          <w:spacing w:val="-3"/>
          <w:kern w:val="0"/>
          <w:position w:val="17"/>
          <w:sz w:val="28"/>
          <w:szCs w:val="28"/>
          <w:highlight w:val="none"/>
          <w:lang w:val="en-US" w:eastAsia="en-US" w:bidi="ar-SA"/>
        </w:rPr>
        <w:t>政府采购支持绿色建材促进建筑品质提升</w:t>
      </w:r>
      <w:r>
        <w:rPr>
          <w:rFonts w:hint="eastAsia" w:ascii="宋体" w:hAnsi="宋体" w:eastAsia="宋体" w:cs="宋体"/>
          <w:snapToGrid w:val="0"/>
          <w:color w:val="auto"/>
          <w:spacing w:val="-3"/>
          <w:kern w:val="0"/>
          <w:position w:val="17"/>
          <w:sz w:val="28"/>
          <w:szCs w:val="28"/>
          <w:highlight w:val="none"/>
          <w:lang w:val="en-US" w:eastAsia="zh-CN" w:bidi="ar-SA"/>
        </w:rPr>
        <w:t>应用</w:t>
      </w:r>
      <w:r>
        <w:rPr>
          <w:rFonts w:ascii="宋体" w:hAnsi="宋体" w:eastAsia="宋体" w:cs="宋体"/>
          <w:snapToGrid w:val="0"/>
          <w:color w:val="auto"/>
          <w:spacing w:val="-3"/>
          <w:kern w:val="0"/>
          <w:position w:val="17"/>
          <w:sz w:val="28"/>
          <w:szCs w:val="28"/>
          <w:highlight w:val="none"/>
          <w:lang w:val="en-US" w:eastAsia="en-US" w:bidi="ar-SA"/>
        </w:rPr>
        <w:t>项目（以下简称“</w:t>
      </w:r>
      <w:r>
        <w:rPr>
          <w:rFonts w:hint="eastAsia" w:ascii="宋体" w:hAnsi="宋体" w:eastAsia="宋体" w:cs="宋体"/>
          <w:snapToGrid w:val="0"/>
          <w:color w:val="auto"/>
          <w:spacing w:val="-3"/>
          <w:kern w:val="0"/>
          <w:position w:val="17"/>
          <w:sz w:val="28"/>
          <w:szCs w:val="28"/>
          <w:highlight w:val="none"/>
          <w:lang w:val="en-US" w:eastAsia="zh-CN" w:bidi="ar-SA"/>
        </w:rPr>
        <w:t>应用</w:t>
      </w:r>
      <w:r>
        <w:rPr>
          <w:rFonts w:ascii="宋体" w:hAnsi="宋体" w:eastAsia="宋体" w:cs="宋体"/>
          <w:snapToGrid w:val="0"/>
          <w:color w:val="auto"/>
          <w:spacing w:val="-3"/>
          <w:kern w:val="0"/>
          <w:position w:val="17"/>
          <w:sz w:val="28"/>
          <w:szCs w:val="28"/>
          <w:highlight w:val="none"/>
          <w:lang w:val="en-US" w:eastAsia="en-US" w:bidi="ar-SA"/>
        </w:rPr>
        <w:t>项目”）。</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ascii="宋体" w:hAnsi="宋体" w:eastAsia="宋体" w:cs="宋体"/>
          <w:color w:val="auto"/>
          <w:sz w:val="28"/>
          <w:szCs w:val="28"/>
          <w:highlight w:val="none"/>
        </w:rPr>
        <w:sectPr>
          <w:footerReference r:id="rId7" w:type="default"/>
          <w:pgSz w:w="11906" w:h="16839"/>
          <w:pgMar w:top="1431" w:right="1473" w:bottom="1857" w:left="1597" w:header="0" w:footer="1692" w:gutter="0"/>
          <w:pgNumType w:start="1"/>
          <w:cols w:space="720" w:num="1"/>
        </w:sectPr>
      </w:pP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 xml:space="preserve">1.0.3 </w:t>
      </w:r>
      <w:r>
        <w:rPr>
          <w:rFonts w:hint="eastAsia" w:ascii="宋体" w:hAnsi="宋体" w:eastAsia="宋体" w:cs="宋体"/>
          <w:snapToGrid w:val="0"/>
          <w:color w:val="auto"/>
          <w:spacing w:val="-3"/>
          <w:kern w:val="0"/>
          <w:position w:val="17"/>
          <w:sz w:val="28"/>
          <w:szCs w:val="28"/>
          <w:highlight w:val="none"/>
          <w:lang w:val="en-US" w:eastAsia="zh-CN" w:bidi="ar-SA"/>
        </w:rPr>
        <w:t xml:space="preserve">  福州</w:t>
      </w:r>
      <w:r>
        <w:rPr>
          <w:rFonts w:ascii="宋体" w:hAnsi="宋体" w:eastAsia="宋体" w:cs="宋体"/>
          <w:snapToGrid w:val="0"/>
          <w:color w:val="auto"/>
          <w:spacing w:val="-3"/>
          <w:kern w:val="0"/>
          <w:position w:val="17"/>
          <w:sz w:val="28"/>
          <w:szCs w:val="28"/>
          <w:highlight w:val="none"/>
          <w:lang w:val="en-US" w:eastAsia="en-US" w:bidi="ar-SA"/>
        </w:rPr>
        <w:t>市绿色建材应用项目评价除应符合本导则外，尚应符合国家</w:t>
      </w:r>
      <w:r>
        <w:rPr>
          <w:rFonts w:hint="eastAsia" w:ascii="宋体" w:hAnsi="宋体" w:eastAsia="宋体" w:cs="宋体"/>
          <w:snapToGrid w:val="0"/>
          <w:color w:val="auto"/>
          <w:spacing w:val="-3"/>
          <w:kern w:val="0"/>
          <w:position w:val="17"/>
          <w:sz w:val="28"/>
          <w:szCs w:val="28"/>
          <w:highlight w:val="none"/>
          <w:lang w:val="en-US" w:eastAsia="zh-CN" w:bidi="ar-SA"/>
        </w:rPr>
        <w:t>和地方有关标准要求</w:t>
      </w:r>
      <w:r>
        <w:rPr>
          <w:rFonts w:ascii="宋体" w:hAnsi="宋体" w:eastAsia="宋体" w:cs="宋体"/>
          <w:snapToGrid w:val="0"/>
          <w:color w:val="auto"/>
          <w:spacing w:val="-3"/>
          <w:kern w:val="0"/>
          <w:position w:val="17"/>
          <w:sz w:val="28"/>
          <w:szCs w:val="28"/>
          <w:highlight w:val="none"/>
          <w:lang w:val="en-US" w:eastAsia="en-US" w:bidi="ar-SA"/>
        </w:rPr>
        <w:t>。</w:t>
      </w:r>
    </w:p>
    <w:p>
      <w:pPr>
        <w:keepNext w:val="0"/>
        <w:keepLines w:val="0"/>
        <w:pageBreakBefore w:val="0"/>
        <w:kinsoku/>
        <w:overflowPunct/>
        <w:topLinePunct w:val="0"/>
        <w:bidi w:val="0"/>
        <w:spacing w:before="101" w:line="225" w:lineRule="auto"/>
        <w:jc w:val="center"/>
        <w:outlineLvl w:val="0"/>
        <w:rPr>
          <w:rFonts w:hint="eastAsia" w:ascii="宋体" w:hAnsi="宋体" w:eastAsia="宋体" w:cs="宋体"/>
          <w:b/>
          <w:bCs/>
          <w:color w:val="auto"/>
          <w:spacing w:val="-2"/>
          <w:sz w:val="32"/>
          <w:szCs w:val="32"/>
          <w:highlight w:val="none"/>
        </w:rPr>
      </w:pPr>
      <w:bookmarkStart w:id="2" w:name="bookmark2"/>
      <w:bookmarkEnd w:id="2"/>
      <w:bookmarkStart w:id="3" w:name="_Toc17987"/>
      <w:r>
        <w:rPr>
          <w:rFonts w:hint="eastAsia" w:ascii="Times New Roman" w:hAnsi="Times New Roman" w:eastAsia="宋体" w:cs="Times New Roman"/>
          <w:b/>
          <w:bCs/>
          <w:color w:val="auto"/>
          <w:spacing w:val="3"/>
          <w:sz w:val="32"/>
          <w:szCs w:val="32"/>
          <w:highlight w:val="none"/>
          <w:lang w:val="en-US" w:eastAsia="zh-CN"/>
        </w:rPr>
        <w:t>2</w:t>
      </w:r>
      <w:r>
        <w:rPr>
          <w:rFonts w:hint="eastAsia" w:ascii="宋体" w:hAnsi="宋体" w:eastAsia="宋体" w:cs="宋体"/>
          <w:b/>
          <w:bCs/>
          <w:color w:val="auto"/>
          <w:spacing w:val="10"/>
          <w:sz w:val="32"/>
          <w:szCs w:val="32"/>
          <w:highlight w:val="none"/>
        </w:rPr>
        <w:t xml:space="preserve">  </w:t>
      </w:r>
      <w:r>
        <w:rPr>
          <w:rFonts w:hint="eastAsia" w:ascii="宋体" w:hAnsi="宋体" w:eastAsia="宋体" w:cs="宋体"/>
          <w:b/>
          <w:bCs/>
          <w:color w:val="auto"/>
          <w:spacing w:val="-2"/>
          <w:sz w:val="32"/>
          <w:szCs w:val="32"/>
          <w:highlight w:val="none"/>
        </w:rPr>
        <w:t>术语</w:t>
      </w:r>
      <w:bookmarkEnd w:id="3"/>
    </w:p>
    <w:p>
      <w:pPr>
        <w:keepNext w:val="0"/>
        <w:keepLines w:val="0"/>
        <w:pageBreakBefore w:val="0"/>
        <w:kinsoku/>
        <w:overflowPunct/>
        <w:topLinePunct w:val="0"/>
        <w:bidi w:val="0"/>
        <w:spacing w:before="101" w:line="225" w:lineRule="auto"/>
        <w:jc w:val="both"/>
        <w:outlineLvl w:val="0"/>
        <w:rPr>
          <w:rFonts w:hint="eastAsia" w:ascii="宋体" w:hAnsi="宋体" w:eastAsia="宋体" w:cs="宋体"/>
          <w:b/>
          <w:bCs/>
          <w:color w:val="auto"/>
          <w:spacing w:val="-2"/>
          <w:sz w:val="28"/>
          <w:szCs w:val="28"/>
          <w:highlight w:val="none"/>
          <w:lang w:val="en-US" w:eastAsia="zh-CN"/>
        </w:rPr>
      </w:pP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0"/>
        <w:jc w:val="both"/>
        <w:textAlignment w:val="baseline"/>
        <w:outlineLvl w:val="9"/>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2.1</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绿色建筑</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0" w:firstLine="539" w:firstLineChars="1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宋体" w:hAnsi="宋体" w:eastAsia="宋体" w:cs="宋体"/>
          <w:snapToGrid w:val="0"/>
          <w:color w:val="auto"/>
          <w:spacing w:val="-3"/>
          <w:kern w:val="0"/>
          <w:position w:val="17"/>
          <w:sz w:val="28"/>
          <w:szCs w:val="28"/>
          <w:highlight w:val="none"/>
          <w:lang w:val="en-US" w:eastAsia="zh-CN" w:bidi="ar-SA"/>
        </w:rPr>
        <w:t>在全寿命期内，节约资源、保护环境、减少污染，为人们提供健康、适用、高效的使用空间，最大限度地实现人与自然和谐共生的高质量建筑。</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0" w:hanging="5"/>
        <w:jc w:val="both"/>
        <w:textAlignment w:val="baseline"/>
        <w:outlineLvl w:val="9"/>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2.2</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绿色建材</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0" w:firstLine="539" w:firstLineChars="1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宋体" w:hAnsi="宋体" w:eastAsia="宋体" w:cs="宋体"/>
          <w:snapToGrid w:val="0"/>
          <w:color w:val="auto"/>
          <w:spacing w:val="-3"/>
          <w:kern w:val="0"/>
          <w:position w:val="17"/>
          <w:sz w:val="28"/>
          <w:szCs w:val="28"/>
          <w:highlight w:val="none"/>
          <w:lang w:val="en-US" w:eastAsia="zh-CN" w:bidi="ar-SA"/>
        </w:rPr>
        <w:t>是指在全生命期内可减少对天然资源消耗和减轻对生态环境影响，具有“节能、减排、安全、便利和可循环”特征的建材产品。本导则中所指的绿色建材，为符合《福州市绿色建筑和绿色建材政府采购基本要求（2026年版）》（以下简称《基本要求》）相关指标要求的建筑材料、构配件及设备设施。</w:t>
      </w:r>
    </w:p>
    <w:p>
      <w:pPr>
        <w:pStyle w:val="7"/>
        <w:keepNext w:val="0"/>
        <w:keepLines w:val="0"/>
        <w:pageBreakBefore w:val="0"/>
        <w:kinsoku/>
        <w:overflowPunct/>
        <w:topLinePunct w:val="0"/>
        <w:bidi w:val="0"/>
        <w:spacing w:line="358" w:lineRule="auto"/>
        <w:jc w:val="both"/>
        <w:rPr>
          <w:rFonts w:hint="eastAsia" w:ascii="宋体" w:hAnsi="宋体" w:eastAsia="宋体" w:cs="宋体"/>
          <w:color w:val="auto"/>
          <w:sz w:val="32"/>
          <w:szCs w:val="32"/>
          <w:highlight w:val="none"/>
        </w:rPr>
      </w:pPr>
    </w:p>
    <w:p>
      <w:pPr>
        <w:keepNext w:val="0"/>
        <w:keepLines w:val="0"/>
        <w:pageBreakBefore w:val="0"/>
        <w:kinsoku/>
        <w:overflowPunct/>
        <w:topLinePunct w:val="0"/>
        <w:bidi w:val="0"/>
        <w:spacing w:before="101" w:line="224" w:lineRule="auto"/>
        <w:ind w:left="3620"/>
        <w:jc w:val="both"/>
        <w:outlineLvl w:val="0"/>
        <w:rPr>
          <w:rFonts w:hint="eastAsia" w:ascii="宋体" w:hAnsi="宋体" w:eastAsia="宋体" w:cs="宋体"/>
          <w:b/>
          <w:bCs/>
          <w:color w:val="auto"/>
          <w:spacing w:val="4"/>
          <w:sz w:val="32"/>
          <w:szCs w:val="32"/>
          <w:highlight w:val="none"/>
        </w:rPr>
      </w:pPr>
      <w:bookmarkStart w:id="4" w:name="bookmark3"/>
      <w:bookmarkEnd w:id="4"/>
      <w:bookmarkStart w:id="5" w:name="_Toc9461"/>
      <w:r>
        <w:rPr>
          <w:rFonts w:hint="eastAsia" w:ascii="Times New Roman" w:hAnsi="Times New Roman" w:eastAsia="宋体" w:cs="Times New Roman"/>
          <w:b/>
          <w:bCs/>
          <w:color w:val="auto"/>
          <w:spacing w:val="3"/>
          <w:sz w:val="32"/>
          <w:szCs w:val="32"/>
          <w:highlight w:val="none"/>
          <w:lang w:val="en-US" w:eastAsia="zh-CN"/>
        </w:rPr>
        <w:t>3</w:t>
      </w:r>
      <w:r>
        <w:rPr>
          <w:rFonts w:hint="eastAsia" w:ascii="宋体" w:hAnsi="宋体" w:eastAsia="宋体" w:cs="宋体"/>
          <w:b/>
          <w:bCs/>
          <w:color w:val="auto"/>
          <w:spacing w:val="4"/>
          <w:sz w:val="32"/>
          <w:szCs w:val="32"/>
          <w:highlight w:val="none"/>
        </w:rPr>
        <w:t xml:space="preserve"> </w:t>
      </w:r>
      <w:r>
        <w:rPr>
          <w:rFonts w:hint="eastAsia" w:ascii="宋体" w:hAnsi="宋体" w:eastAsia="宋体" w:cs="宋体"/>
          <w:b/>
          <w:bCs/>
          <w:color w:val="auto"/>
          <w:spacing w:val="4"/>
          <w:sz w:val="32"/>
          <w:szCs w:val="32"/>
          <w:highlight w:val="none"/>
          <w:lang w:val="en-US" w:eastAsia="zh-CN"/>
        </w:rPr>
        <w:t xml:space="preserve"> </w:t>
      </w:r>
      <w:r>
        <w:rPr>
          <w:rFonts w:hint="eastAsia" w:ascii="宋体" w:hAnsi="宋体" w:eastAsia="宋体" w:cs="宋体"/>
          <w:b/>
          <w:bCs/>
          <w:color w:val="auto"/>
          <w:spacing w:val="4"/>
          <w:sz w:val="32"/>
          <w:szCs w:val="32"/>
          <w:highlight w:val="none"/>
        </w:rPr>
        <w:t>基本规定</w:t>
      </w:r>
      <w:bookmarkEnd w:id="5"/>
    </w:p>
    <w:p>
      <w:pPr>
        <w:keepNext w:val="0"/>
        <w:keepLines w:val="0"/>
        <w:pageBreakBefore w:val="0"/>
        <w:kinsoku/>
        <w:overflowPunct/>
        <w:topLinePunct w:val="0"/>
        <w:bidi w:val="0"/>
        <w:spacing w:before="101" w:line="224" w:lineRule="auto"/>
        <w:ind w:left="3620"/>
        <w:jc w:val="both"/>
        <w:outlineLvl w:val="0"/>
        <w:rPr>
          <w:rFonts w:ascii="宋体" w:hAnsi="宋体" w:eastAsia="宋体" w:cs="宋体"/>
          <w:b/>
          <w:bCs/>
          <w:color w:val="auto"/>
          <w:spacing w:val="4"/>
          <w:sz w:val="31"/>
          <w:szCs w:val="31"/>
          <w:highlight w:val="none"/>
        </w:rPr>
      </w:pP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3.0.1</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应用项目评价应在项目竣工验收前进行。</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3.0.2</w:t>
      </w:r>
      <w:r>
        <w:rPr>
          <w:rFonts w:hint="eastAsia" w:ascii="宋体" w:hAnsi="宋体" w:eastAsia="宋体" w:cs="宋体"/>
          <w:snapToGrid w:val="0"/>
          <w:color w:val="auto"/>
          <w:spacing w:val="-3"/>
          <w:kern w:val="0"/>
          <w:position w:val="17"/>
          <w:sz w:val="28"/>
          <w:szCs w:val="28"/>
          <w:highlight w:val="none"/>
          <w:lang w:val="en-US" w:eastAsia="zh-CN" w:bidi="ar-SA"/>
        </w:rPr>
        <w:t xml:space="preserve">   申请评价方应对应用项目应选用适宜技术、设备和材料，对规划、设计、施工等阶段进行全过程控制，并应在评价时提交相应分析、测试报告和相关文件。申请评价方应对所提交资料的真实性和完整性负责。</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 xml:space="preserve">3.0.3 </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评价机构应对申请评价方提交的分析、测试报告和相关文件进行审查，判定是否合格。</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0" w:hanging="5"/>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3.0.</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4</w:t>
      </w:r>
      <w:r>
        <w:rPr>
          <w:rFonts w:hint="eastAsia" w:ascii="宋体" w:hAnsi="宋体" w:eastAsia="宋体" w:cs="宋体"/>
          <w:b/>
          <w:bCs/>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应用项目应用率需按照《福建省绿色建筑设计标准》DBJ13-197-2022中绿色建筑设计星级要求，不同星级等级对应不同的应用比例，各等级绿色建筑中的绿色建材应用率不应低于以下要求：</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0"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1</w:t>
      </w:r>
      <w:r>
        <w:rPr>
          <w:rFonts w:hint="eastAsia" w:ascii="宋体" w:hAnsi="宋体" w:eastAsia="宋体" w:cs="宋体"/>
          <w:snapToGrid w:val="0"/>
          <w:color w:val="auto"/>
          <w:spacing w:val="-3"/>
          <w:kern w:val="0"/>
          <w:position w:val="17"/>
          <w:sz w:val="28"/>
          <w:szCs w:val="28"/>
          <w:highlight w:val="none"/>
          <w:lang w:val="en-US" w:eastAsia="zh-CN" w:bidi="ar-SA"/>
        </w:rPr>
        <w:t xml:space="preserve">   基本级绿色建筑中绿色建材应用率不应低于25%。</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0"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2</w:t>
      </w:r>
      <w:r>
        <w:rPr>
          <w:rFonts w:hint="eastAsia" w:ascii="宋体" w:hAnsi="宋体" w:eastAsia="宋体" w:cs="宋体"/>
          <w:snapToGrid w:val="0"/>
          <w:color w:val="auto"/>
          <w:spacing w:val="-3"/>
          <w:kern w:val="0"/>
          <w:position w:val="17"/>
          <w:sz w:val="28"/>
          <w:szCs w:val="28"/>
          <w:highlight w:val="none"/>
          <w:lang w:val="en-US" w:eastAsia="zh-CN" w:bidi="ar-SA"/>
        </w:rPr>
        <w:t xml:space="preserve">   一星级绿色建筑中绿色建材应用率不应低于40%。</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0"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3</w:t>
      </w:r>
      <w:r>
        <w:rPr>
          <w:rFonts w:hint="eastAsia" w:ascii="宋体" w:hAnsi="宋体" w:eastAsia="宋体" w:cs="宋体"/>
          <w:snapToGrid w:val="0"/>
          <w:color w:val="auto"/>
          <w:spacing w:val="-3"/>
          <w:kern w:val="0"/>
          <w:position w:val="17"/>
          <w:sz w:val="28"/>
          <w:szCs w:val="28"/>
          <w:highlight w:val="none"/>
          <w:lang w:val="en-US" w:eastAsia="zh-CN" w:bidi="ar-SA"/>
        </w:rPr>
        <w:t xml:space="preserve">   二星级绿色建筑中绿色建材应用率不应低于50%。</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0" w:firstLine="266" w:firstLineChars="97"/>
        <w:jc w:val="both"/>
        <w:textAlignment w:val="baseline"/>
        <w:rPr>
          <w:color w:val="auto"/>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4</w:t>
      </w:r>
      <w:r>
        <w:rPr>
          <w:rFonts w:hint="eastAsia" w:ascii="宋体" w:hAnsi="宋体" w:eastAsia="宋体" w:cs="宋体"/>
          <w:snapToGrid w:val="0"/>
          <w:color w:val="auto"/>
          <w:spacing w:val="-3"/>
          <w:kern w:val="0"/>
          <w:position w:val="17"/>
          <w:sz w:val="28"/>
          <w:szCs w:val="28"/>
          <w:highlight w:val="none"/>
          <w:lang w:val="en-US" w:eastAsia="zh-CN" w:bidi="ar-SA"/>
        </w:rPr>
        <w:t xml:space="preserve">   三星级绿色建筑中绿色建材应用率不应低于70%。</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0" w:firstLine="266" w:firstLineChars="97"/>
        <w:jc w:val="both"/>
        <w:textAlignment w:val="baseline"/>
        <w:rPr>
          <w:rFonts w:hint="default"/>
          <w:color w:val="auto"/>
          <w:lang w:val="en-US" w:eastAsia="zh-CN"/>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5</w:t>
      </w:r>
      <w:r>
        <w:rPr>
          <w:rFonts w:hint="eastAsia" w:ascii="宋体" w:hAnsi="宋体" w:eastAsia="宋体" w:cs="宋体"/>
          <w:snapToGrid w:val="0"/>
          <w:color w:val="auto"/>
          <w:spacing w:val="-3"/>
          <w:kern w:val="0"/>
          <w:position w:val="17"/>
          <w:sz w:val="28"/>
          <w:szCs w:val="28"/>
          <w:highlight w:val="none"/>
          <w:lang w:val="en-US" w:eastAsia="zh-CN" w:bidi="ar-SA"/>
        </w:rPr>
        <w:t xml:space="preserve">   纳入福州市政府采购支持绿色建材促进建筑品质提升政策实施范围的项目绿色建材应用率不应低于40%。</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0" w:hanging="5"/>
        <w:jc w:val="both"/>
        <w:textAlignment w:val="baseline"/>
        <w:rPr>
          <w:rFonts w:hint="eastAsia" w:ascii="宋体" w:hAnsi="宋体" w:eastAsia="宋体" w:cs="宋体"/>
          <w:b/>
          <w:bCs/>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3.0.</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5</w:t>
      </w:r>
      <w:r>
        <w:rPr>
          <w:rFonts w:hint="eastAsia" w:ascii="宋体" w:hAnsi="宋体" w:eastAsia="宋体" w:cs="宋体"/>
          <w:b/>
          <w:bCs/>
          <w:snapToGrid w:val="0"/>
          <w:color w:val="auto"/>
          <w:spacing w:val="-3"/>
          <w:kern w:val="0"/>
          <w:position w:val="17"/>
          <w:sz w:val="28"/>
          <w:szCs w:val="28"/>
          <w:highlight w:val="none"/>
          <w:lang w:val="en-US" w:eastAsia="en-US" w:bidi="ar-SA"/>
        </w:rPr>
        <w:t xml:space="preserve">  </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应用项目绿色建材应用比例计算方法应按照《福州市绿色建材应用比例计算技术细则》计算（以下称为计算细则）。</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0" w:hanging="5"/>
        <w:jc w:val="both"/>
        <w:textAlignment w:val="baseline"/>
        <w:rPr>
          <w:rFonts w:hint="eastAsia" w:ascii="宋体" w:hAnsi="宋体" w:eastAsia="宋体" w:cs="宋体"/>
          <w:b/>
          <w:bCs/>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3.0.6 </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根据工程实践与建材特性，结合</w:t>
      </w:r>
      <w:r>
        <w:rPr>
          <w:rFonts w:hint="eastAsia" w:ascii="宋体" w:hAnsi="宋体" w:eastAsia="宋体" w:cs="宋体"/>
          <w:snapToGrid w:val="0"/>
          <w:color w:val="auto"/>
          <w:spacing w:val="-3"/>
          <w:kern w:val="0"/>
          <w:position w:val="17"/>
          <w:sz w:val="28"/>
          <w:szCs w:val="28"/>
          <w:highlight w:val="none"/>
          <w:lang w:val="en-US" w:eastAsia="zh-CN" w:bidi="ar-SA"/>
        </w:rPr>
        <w:t>福州</w:t>
      </w:r>
      <w:r>
        <w:rPr>
          <w:rFonts w:hint="eastAsia" w:ascii="宋体" w:hAnsi="宋体" w:eastAsia="宋体" w:cs="宋体"/>
          <w:snapToGrid w:val="0"/>
          <w:color w:val="auto"/>
          <w:spacing w:val="-3"/>
          <w:kern w:val="0"/>
          <w:position w:val="17"/>
          <w:sz w:val="28"/>
          <w:szCs w:val="28"/>
          <w:highlight w:val="none"/>
          <w:lang w:val="en-US" w:eastAsia="en-US" w:bidi="ar-SA"/>
        </w:rPr>
        <w:t>当地的建材产业现状，从安全环保、节能节材、工程用量、产业发展等维度，将绿色建材分为“必选绿色建材”与“可选绿色建材”</w:t>
      </w:r>
      <w:r>
        <w:rPr>
          <w:rFonts w:hint="eastAsia" w:ascii="宋体" w:hAnsi="宋体" w:eastAsia="宋体" w:cs="宋体"/>
          <w:snapToGrid w:val="0"/>
          <w:color w:val="auto"/>
          <w:spacing w:val="-3"/>
          <w:kern w:val="0"/>
          <w:position w:val="17"/>
          <w:sz w:val="28"/>
          <w:szCs w:val="28"/>
          <w:highlight w:val="none"/>
          <w:lang w:val="en-US" w:eastAsia="zh-CN" w:bidi="ar-SA"/>
        </w:rPr>
        <w:t>。</w:t>
      </w:r>
      <w:r>
        <w:rPr>
          <w:rFonts w:hint="eastAsia" w:ascii="宋体" w:hAnsi="宋体" w:eastAsia="宋体" w:cs="宋体"/>
          <w:snapToGrid w:val="0"/>
          <w:color w:val="auto"/>
          <w:spacing w:val="-3"/>
          <w:kern w:val="0"/>
          <w:position w:val="17"/>
          <w:sz w:val="28"/>
          <w:szCs w:val="28"/>
          <w:highlight w:val="none"/>
          <w:lang w:val="en-US" w:eastAsia="en-US" w:bidi="ar-SA"/>
        </w:rPr>
        <w:t>被列为“必选绿色建材”的，</w:t>
      </w:r>
      <w:r>
        <w:rPr>
          <w:rFonts w:hint="eastAsia" w:ascii="宋体" w:hAnsi="宋体" w:eastAsia="宋体" w:cs="宋体"/>
          <w:snapToGrid w:val="0"/>
          <w:color w:val="auto"/>
          <w:spacing w:val="-3"/>
          <w:kern w:val="0"/>
          <w:position w:val="17"/>
          <w:sz w:val="28"/>
          <w:szCs w:val="28"/>
          <w:highlight w:val="none"/>
          <w:lang w:val="en-US" w:eastAsia="zh-CN" w:bidi="ar-SA"/>
        </w:rPr>
        <w:t>应用项目</w:t>
      </w:r>
      <w:r>
        <w:rPr>
          <w:rFonts w:hint="eastAsia" w:ascii="宋体" w:hAnsi="宋体" w:eastAsia="宋体" w:cs="宋体"/>
          <w:snapToGrid w:val="0"/>
          <w:color w:val="auto"/>
          <w:spacing w:val="-3"/>
          <w:kern w:val="0"/>
          <w:position w:val="17"/>
          <w:sz w:val="28"/>
          <w:szCs w:val="28"/>
          <w:highlight w:val="none"/>
          <w:lang w:val="en-US" w:eastAsia="en-US" w:bidi="ar-SA"/>
        </w:rPr>
        <w:t>如有应用相关类别建材则必须使用绿色建材（应用比例原则上为</w:t>
      </w:r>
      <w:r>
        <w:rPr>
          <w:rFonts w:hint="eastAsia" w:ascii="宋体" w:hAnsi="宋体" w:eastAsia="宋体" w:cs="宋体"/>
          <w:snapToGrid w:val="0"/>
          <w:color w:val="auto"/>
          <w:spacing w:val="-3"/>
          <w:kern w:val="0"/>
          <w:position w:val="17"/>
          <w:sz w:val="28"/>
          <w:szCs w:val="28"/>
          <w:highlight w:val="none"/>
          <w:lang w:val="en-US" w:eastAsia="zh-CN" w:bidi="ar-SA"/>
        </w:rPr>
        <w:t>80</w:t>
      </w:r>
      <w:r>
        <w:rPr>
          <w:rFonts w:hint="eastAsia" w:ascii="宋体" w:hAnsi="宋体" w:eastAsia="宋体" w:cs="宋体"/>
          <w:snapToGrid w:val="0"/>
          <w:color w:val="auto"/>
          <w:spacing w:val="-3"/>
          <w:kern w:val="0"/>
          <w:position w:val="17"/>
          <w:sz w:val="28"/>
          <w:szCs w:val="28"/>
          <w:highlight w:val="none"/>
          <w:lang w:val="en-US" w:eastAsia="en-US" w:bidi="ar-SA"/>
        </w:rPr>
        <w:t>%</w:t>
      </w:r>
      <w:r>
        <w:rPr>
          <w:rFonts w:hint="eastAsia" w:ascii="宋体" w:hAnsi="宋体" w:eastAsia="宋体" w:cs="宋体"/>
          <w:snapToGrid w:val="0"/>
          <w:color w:val="auto"/>
          <w:spacing w:val="-3"/>
          <w:kern w:val="0"/>
          <w:position w:val="17"/>
          <w:sz w:val="28"/>
          <w:szCs w:val="28"/>
          <w:highlight w:val="none"/>
          <w:u w:val="single"/>
          <w:lang w:val="en-US" w:eastAsia="zh-CN" w:bidi="ar-SA"/>
        </w:rPr>
        <w:t>及</w:t>
      </w:r>
      <w:r>
        <w:rPr>
          <w:rFonts w:hint="eastAsia" w:ascii="宋体" w:hAnsi="宋体" w:eastAsia="宋体" w:cs="宋体"/>
          <w:snapToGrid w:val="0"/>
          <w:color w:val="auto"/>
          <w:spacing w:val="-3"/>
          <w:kern w:val="0"/>
          <w:position w:val="17"/>
          <w:sz w:val="28"/>
          <w:szCs w:val="28"/>
          <w:highlight w:val="none"/>
          <w:lang w:val="en-US" w:eastAsia="zh-CN" w:bidi="ar-SA"/>
        </w:rPr>
        <w:t>以上</w:t>
      </w:r>
      <w:r>
        <w:rPr>
          <w:rFonts w:hint="eastAsia" w:ascii="宋体" w:hAnsi="宋体" w:eastAsia="宋体" w:cs="宋体"/>
          <w:snapToGrid w:val="0"/>
          <w:color w:val="auto"/>
          <w:spacing w:val="-3"/>
          <w:kern w:val="0"/>
          <w:position w:val="17"/>
          <w:sz w:val="28"/>
          <w:szCs w:val="28"/>
          <w:highlight w:val="non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0" w:hanging="5"/>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3.0.7</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应用项目</w:t>
      </w:r>
      <w:r>
        <w:rPr>
          <w:rFonts w:hint="eastAsia" w:ascii="宋体" w:hAnsi="宋体" w:eastAsia="宋体" w:cs="宋体"/>
          <w:snapToGrid w:val="0"/>
          <w:color w:val="auto"/>
          <w:spacing w:val="-3"/>
          <w:kern w:val="0"/>
          <w:position w:val="17"/>
          <w:sz w:val="28"/>
          <w:szCs w:val="28"/>
          <w:highlight w:val="none"/>
          <w:lang w:val="en-US" w:eastAsia="en-US" w:bidi="ar-SA"/>
        </w:rPr>
        <w:t>使用的绿色建材应满足《</w:t>
      </w:r>
      <w:r>
        <w:rPr>
          <w:rFonts w:hint="eastAsia" w:ascii="宋体" w:hAnsi="宋体" w:eastAsia="宋体" w:cs="宋体"/>
          <w:snapToGrid w:val="0"/>
          <w:color w:val="auto"/>
          <w:spacing w:val="-3"/>
          <w:kern w:val="0"/>
          <w:position w:val="17"/>
          <w:sz w:val="28"/>
          <w:szCs w:val="28"/>
          <w:highlight w:val="none"/>
          <w:lang w:val="en-US" w:eastAsia="zh-CN" w:bidi="ar-SA"/>
        </w:rPr>
        <w:t>基本要求</w:t>
      </w:r>
      <w:r>
        <w:rPr>
          <w:rFonts w:hint="eastAsia" w:ascii="宋体" w:hAnsi="宋体" w:eastAsia="宋体" w:cs="宋体"/>
          <w:snapToGrid w:val="0"/>
          <w:color w:val="auto"/>
          <w:spacing w:val="-3"/>
          <w:kern w:val="0"/>
          <w:position w:val="17"/>
          <w:sz w:val="28"/>
          <w:szCs w:val="28"/>
          <w:highlight w:val="none"/>
          <w:lang w:val="en-US" w:eastAsia="en-US" w:bidi="ar-SA"/>
        </w:rPr>
        <w:t>》中的建设要求及建筑材料、构配件及设备设施对应的绿色要求和品质属性要求。</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0" w:hanging="5"/>
        <w:jc w:val="both"/>
        <w:textAlignment w:val="baseline"/>
        <w:rPr>
          <w:rFonts w:hint="default" w:ascii="Times New Roman" w:hAnsi="Times New Roman" w:eastAsia="宋体" w:cs="Times New Roman"/>
          <w:b w:val="0"/>
          <w:bCs w:val="0"/>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3.0.8</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 </w:t>
      </w:r>
      <w:r>
        <w:rPr>
          <w:rFonts w:hint="eastAsia" w:ascii="Times New Roman" w:hAnsi="Times New Roman" w:eastAsia="宋体" w:cs="Times New Roman"/>
          <w:b w:val="0"/>
          <w:bCs w:val="0"/>
          <w:snapToGrid w:val="0"/>
          <w:color w:val="auto"/>
          <w:spacing w:val="-3"/>
          <w:kern w:val="0"/>
          <w:position w:val="17"/>
          <w:sz w:val="28"/>
          <w:szCs w:val="28"/>
          <w:highlight w:val="none"/>
          <w:lang w:val="en-US" w:eastAsia="zh-CN" w:bidi="ar-SA"/>
        </w:rPr>
        <w:t>应用项目使用的绿色建材二级指标材料可参考附录B对应分类。</w:t>
      </w:r>
    </w:p>
    <w:p>
      <w:pPr>
        <w:rPr>
          <w:rFonts w:hint="eastAsia" w:ascii="宋体" w:hAnsi="宋体" w:eastAsia="宋体" w:cs="宋体"/>
          <w:snapToGrid w:val="0"/>
          <w:color w:val="auto"/>
          <w:spacing w:val="-3"/>
          <w:kern w:val="0"/>
          <w:position w:val="17"/>
          <w:sz w:val="24"/>
          <w:szCs w:val="24"/>
          <w:highlight w:val="none"/>
          <w:lang w:val="en-US" w:eastAsia="en-US" w:bidi="ar-SA"/>
        </w:rPr>
      </w:pPr>
      <w:r>
        <w:rPr>
          <w:rFonts w:hint="eastAsia" w:ascii="宋体" w:hAnsi="宋体" w:eastAsia="宋体" w:cs="宋体"/>
          <w:snapToGrid w:val="0"/>
          <w:color w:val="auto"/>
          <w:spacing w:val="-3"/>
          <w:kern w:val="0"/>
          <w:position w:val="17"/>
          <w:sz w:val="24"/>
          <w:szCs w:val="24"/>
          <w:highlight w:val="none"/>
          <w:lang w:val="en-US" w:eastAsia="en-US" w:bidi="ar-SA"/>
        </w:rPr>
        <w:br w:type="page"/>
      </w:r>
    </w:p>
    <w:p>
      <w:pPr>
        <w:keepNext w:val="0"/>
        <w:keepLines w:val="0"/>
        <w:pageBreakBefore w:val="0"/>
        <w:kinsoku/>
        <w:overflowPunct/>
        <w:topLinePunct w:val="0"/>
        <w:bidi w:val="0"/>
        <w:spacing w:before="101" w:line="224" w:lineRule="auto"/>
        <w:jc w:val="center"/>
        <w:outlineLvl w:val="0"/>
        <w:rPr>
          <w:rFonts w:hint="eastAsia" w:ascii="宋体" w:hAnsi="宋体" w:eastAsia="宋体" w:cs="宋体"/>
          <w:b/>
          <w:bCs/>
          <w:color w:val="auto"/>
          <w:spacing w:val="4"/>
          <w:sz w:val="32"/>
          <w:szCs w:val="32"/>
          <w:highlight w:val="none"/>
          <w:lang w:val="en-US" w:eastAsia="zh-CN"/>
        </w:rPr>
      </w:pPr>
      <w:bookmarkStart w:id="6" w:name="_Toc12498"/>
      <w:r>
        <w:rPr>
          <w:rFonts w:hint="eastAsia" w:ascii="Times New Roman" w:hAnsi="Times New Roman" w:eastAsia="宋体" w:cs="Times New Roman"/>
          <w:b/>
          <w:bCs/>
          <w:color w:val="auto"/>
          <w:spacing w:val="3"/>
          <w:sz w:val="32"/>
          <w:szCs w:val="32"/>
          <w:highlight w:val="none"/>
          <w:lang w:val="en-US" w:eastAsia="zh-CN"/>
        </w:rPr>
        <w:t>4</w:t>
      </w:r>
      <w:r>
        <w:rPr>
          <w:rFonts w:hint="eastAsia" w:ascii="宋体" w:hAnsi="宋体" w:eastAsia="宋体" w:cs="宋体"/>
          <w:b/>
          <w:bCs/>
          <w:color w:val="auto"/>
          <w:spacing w:val="4"/>
          <w:sz w:val="32"/>
          <w:szCs w:val="32"/>
          <w:highlight w:val="none"/>
          <w:lang w:val="en-US" w:eastAsia="zh-CN"/>
        </w:rPr>
        <w:t xml:space="preserve">  设计及评价</w:t>
      </w:r>
      <w:bookmarkEnd w:id="6"/>
    </w:p>
    <w:p>
      <w:pPr>
        <w:keepNext w:val="0"/>
        <w:keepLines w:val="0"/>
        <w:pageBreakBefore w:val="0"/>
        <w:kinsoku/>
        <w:overflowPunct/>
        <w:topLinePunct w:val="0"/>
        <w:bidi w:val="0"/>
        <w:spacing w:before="101" w:line="224" w:lineRule="auto"/>
        <w:ind w:left="3620"/>
        <w:jc w:val="both"/>
        <w:outlineLvl w:val="0"/>
        <w:rPr>
          <w:rFonts w:hint="eastAsia" w:ascii="Times New Roman" w:hAnsi="Times New Roman" w:eastAsia="Times New Roman" w:cs="Times New Roman"/>
          <w:b/>
          <w:bCs/>
          <w:color w:val="auto"/>
          <w:spacing w:val="4"/>
          <w:sz w:val="31"/>
          <w:szCs w:val="31"/>
          <w:highlight w:val="none"/>
          <w:lang w:val="en-US" w:eastAsia="zh-CN"/>
        </w:rPr>
      </w:pP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4.0.1</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应用项目应按照项目可行性研究报告、建筑方案设计、初步设计、施工图设计、项目验收的阶段分别进行。</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4.0.2   </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应用项目可研阶段应在批复文件中</w:t>
      </w:r>
      <w:r>
        <w:rPr>
          <w:rFonts w:hint="eastAsia" w:ascii="宋体" w:hAnsi="宋体" w:eastAsia="宋体" w:cs="宋体"/>
          <w:snapToGrid w:val="0"/>
          <w:color w:val="auto"/>
          <w:spacing w:val="-3"/>
          <w:kern w:val="0"/>
          <w:position w:val="17"/>
          <w:sz w:val="28"/>
          <w:szCs w:val="28"/>
          <w:highlight w:val="none"/>
          <w:lang w:val="en-US" w:eastAsia="en-US" w:bidi="ar-SA"/>
        </w:rPr>
        <w:t>应载明该项目为“</w:t>
      </w:r>
      <w:r>
        <w:rPr>
          <w:rFonts w:hint="eastAsia" w:ascii="宋体" w:hAnsi="宋体" w:eastAsia="宋体" w:cs="宋体"/>
          <w:snapToGrid w:val="0"/>
          <w:color w:val="auto"/>
          <w:spacing w:val="-3"/>
          <w:kern w:val="0"/>
          <w:position w:val="17"/>
          <w:sz w:val="28"/>
          <w:szCs w:val="28"/>
          <w:highlight w:val="none"/>
          <w:lang w:val="en-US" w:eastAsia="zh-CN" w:bidi="ar-SA"/>
        </w:rPr>
        <w:t>福州</w:t>
      </w:r>
      <w:r>
        <w:rPr>
          <w:rFonts w:hint="eastAsia" w:ascii="宋体" w:hAnsi="宋体" w:eastAsia="宋体" w:cs="宋体"/>
          <w:snapToGrid w:val="0"/>
          <w:color w:val="auto"/>
          <w:spacing w:val="-3"/>
          <w:kern w:val="0"/>
          <w:position w:val="17"/>
          <w:sz w:val="28"/>
          <w:szCs w:val="28"/>
          <w:highlight w:val="none"/>
          <w:lang w:val="en-US" w:eastAsia="en-US" w:bidi="ar-SA"/>
        </w:rPr>
        <w:t>市绿色建材</w:t>
      </w:r>
      <w:r>
        <w:rPr>
          <w:rFonts w:hint="eastAsia" w:ascii="宋体" w:hAnsi="宋体" w:eastAsia="宋体" w:cs="宋体"/>
          <w:snapToGrid w:val="0"/>
          <w:color w:val="auto"/>
          <w:spacing w:val="-3"/>
          <w:kern w:val="0"/>
          <w:position w:val="17"/>
          <w:sz w:val="28"/>
          <w:szCs w:val="28"/>
          <w:highlight w:val="none"/>
          <w:lang w:val="en-US" w:eastAsia="zh-CN" w:bidi="ar-SA"/>
        </w:rPr>
        <w:t>应用项目</w:t>
      </w:r>
      <w:r>
        <w:rPr>
          <w:rFonts w:hint="eastAsia" w:ascii="宋体" w:hAnsi="宋体" w:eastAsia="宋体" w:cs="宋体"/>
          <w:snapToGrid w:val="0"/>
          <w:color w:val="auto"/>
          <w:spacing w:val="-3"/>
          <w:kern w:val="0"/>
          <w:position w:val="17"/>
          <w:sz w:val="28"/>
          <w:szCs w:val="28"/>
          <w:highlight w:val="non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4.0.3 </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应用项目建筑方案设计及初步设计阶段应在设计报审文件的绿色建筑设计专篇中明确绿色建材应用比例要求，并满足绿色建材应用比例不低于相应绿色建筑星级对应的比例要求。</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4.0.3 </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施工图设计文件的绿色建筑设计专篇中应包含绿色建材应用比例计算表（详附录B），并与主体设计文件一同报送施工图审查机构。</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4.0.4</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应用项目绿色建材设计专篇中的比例计算为设计理论值，项目建设单位或施工单位在实际施工过程中可根据项目实际情况调整各绿色建材应用部位及用量，验收报告根据实际工程量调整复核，绿色建材最终实际应用比例不应低于相应绿色建筑星级对应的比例的要求。</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6" w:right="0" w:hanging="6"/>
        <w:jc w:val="both"/>
        <w:textAlignment w:val="baseline"/>
        <w:rPr>
          <w:rFonts w:hint="default" w:ascii="宋体" w:hAnsi="宋体" w:eastAsia="宋体" w:cs="宋体"/>
          <w:snapToGrid w:val="0"/>
          <w:color w:val="auto"/>
          <w:spacing w:val="-3"/>
          <w:kern w:val="0"/>
          <w:position w:val="17"/>
          <w:sz w:val="28"/>
          <w:szCs w:val="28"/>
          <w:highlight w:val="none"/>
          <w:lang w:val="en-US" w:eastAsia="zh-CN" w:bidi="ar-SA"/>
        </w:rPr>
        <w:sectPr>
          <w:footerReference r:id="rId8" w:type="default"/>
          <w:pgSz w:w="11906" w:h="16839"/>
          <w:pgMar w:top="1431" w:right="1473" w:bottom="1858" w:left="1592" w:header="0" w:footer="1692" w:gutter="0"/>
          <w:cols w:space="720" w:num="1"/>
        </w:sect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4.0.5</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应用项目验收评价应由市建设局备案及认可的第三方评价机构出具验收报告，并报送市建设局审核通过后，认定验收合格，方可取得所涉及的绿色建筑评价中的绿色建材相应分值。</w:t>
      </w:r>
    </w:p>
    <w:p>
      <w:pPr>
        <w:keepNext w:val="0"/>
        <w:keepLines w:val="0"/>
        <w:pageBreakBefore w:val="0"/>
        <w:kinsoku/>
        <w:overflowPunct/>
        <w:topLinePunct w:val="0"/>
        <w:bidi w:val="0"/>
        <w:spacing w:before="101" w:line="223" w:lineRule="auto"/>
        <w:jc w:val="center"/>
        <w:outlineLvl w:val="0"/>
        <w:rPr>
          <w:rFonts w:hint="eastAsia" w:ascii="宋体" w:hAnsi="宋体" w:eastAsia="宋体" w:cs="宋体"/>
          <w:color w:val="auto"/>
          <w:sz w:val="32"/>
          <w:szCs w:val="32"/>
          <w:highlight w:val="none"/>
        </w:rPr>
      </w:pPr>
      <w:bookmarkStart w:id="7" w:name="bookmark4"/>
      <w:bookmarkEnd w:id="7"/>
      <w:bookmarkStart w:id="8" w:name="bookmark5"/>
      <w:bookmarkEnd w:id="8"/>
      <w:bookmarkStart w:id="9" w:name="_Toc24592"/>
      <w:r>
        <w:rPr>
          <w:rFonts w:hint="eastAsia" w:ascii="Times New Roman" w:hAnsi="Times New Roman" w:eastAsia="宋体" w:cs="Times New Roman"/>
          <w:b/>
          <w:bCs/>
          <w:color w:val="auto"/>
          <w:spacing w:val="3"/>
          <w:sz w:val="32"/>
          <w:szCs w:val="32"/>
          <w:highlight w:val="none"/>
          <w:lang w:val="en-US" w:eastAsia="zh-CN"/>
        </w:rPr>
        <w:t xml:space="preserve">5 </w:t>
      </w:r>
      <w:r>
        <w:rPr>
          <w:rFonts w:hint="eastAsia" w:ascii="宋体" w:hAnsi="宋体" w:eastAsia="宋体" w:cs="宋体"/>
          <w:b/>
          <w:bCs/>
          <w:color w:val="auto"/>
          <w:spacing w:val="6"/>
          <w:sz w:val="32"/>
          <w:szCs w:val="32"/>
          <w:highlight w:val="none"/>
          <w:lang w:val="en-US" w:eastAsia="zh-CN"/>
        </w:rPr>
        <w:t xml:space="preserve">  检查与</w:t>
      </w:r>
      <w:r>
        <w:rPr>
          <w:rFonts w:hint="eastAsia" w:ascii="宋体" w:hAnsi="宋体" w:eastAsia="宋体" w:cs="宋体"/>
          <w:b/>
          <w:bCs/>
          <w:color w:val="auto"/>
          <w:spacing w:val="6"/>
          <w:sz w:val="32"/>
          <w:szCs w:val="32"/>
          <w:highlight w:val="none"/>
        </w:rPr>
        <w:t>评</w:t>
      </w:r>
      <w:r>
        <w:rPr>
          <w:rFonts w:hint="eastAsia" w:ascii="宋体" w:hAnsi="宋体" w:eastAsia="宋体" w:cs="宋体"/>
          <w:b/>
          <w:bCs/>
          <w:color w:val="auto"/>
          <w:spacing w:val="6"/>
          <w:sz w:val="32"/>
          <w:szCs w:val="32"/>
          <w:highlight w:val="none"/>
          <w:lang w:eastAsia="zh-CN"/>
        </w:rPr>
        <w:t>价</w:t>
      </w:r>
      <w:r>
        <w:rPr>
          <w:rFonts w:hint="eastAsia" w:ascii="宋体" w:hAnsi="宋体" w:eastAsia="宋体" w:cs="宋体"/>
          <w:b/>
          <w:bCs/>
          <w:color w:val="auto"/>
          <w:spacing w:val="6"/>
          <w:sz w:val="32"/>
          <w:szCs w:val="32"/>
          <w:highlight w:val="none"/>
        </w:rPr>
        <w:t>的原则、方法与基本内容</w:t>
      </w:r>
      <w:bookmarkEnd w:id="9"/>
    </w:p>
    <w:p>
      <w:pPr>
        <w:keepNext w:val="0"/>
        <w:keepLines w:val="0"/>
        <w:pageBreakBefore w:val="0"/>
        <w:kinsoku/>
        <w:overflowPunct/>
        <w:topLinePunct w:val="0"/>
        <w:bidi w:val="0"/>
        <w:spacing w:before="137" w:line="221" w:lineRule="auto"/>
        <w:ind w:left="1"/>
        <w:jc w:val="both"/>
        <w:outlineLvl w:val="1"/>
        <w:rPr>
          <w:rFonts w:ascii="Times New Roman" w:hAnsi="Times New Roman" w:eastAsia="Times New Roman" w:cs="Times New Roman"/>
          <w:b/>
          <w:bCs/>
          <w:snapToGrid w:val="0"/>
          <w:color w:val="auto"/>
          <w:spacing w:val="-6"/>
          <w:kern w:val="0"/>
          <w:sz w:val="28"/>
          <w:szCs w:val="28"/>
          <w:highlight w:val="none"/>
          <w:lang w:val="en-US" w:eastAsia="en-US" w:bidi="ar-SA"/>
        </w:rPr>
      </w:pPr>
    </w:p>
    <w:p>
      <w:pPr>
        <w:keepNext w:val="0"/>
        <w:keepLines w:val="0"/>
        <w:pageBreakBefore w:val="0"/>
        <w:widowControl/>
        <w:kinsoku/>
        <w:wordWrap/>
        <w:overflowPunct/>
        <w:topLinePunct w:val="0"/>
        <w:autoSpaceDE w:val="0"/>
        <w:autoSpaceDN w:val="0"/>
        <w:bidi w:val="0"/>
        <w:adjustRightInd w:val="0"/>
        <w:snapToGrid w:val="0"/>
        <w:spacing w:before="137" w:line="360" w:lineRule="auto"/>
        <w:ind w:left="1"/>
        <w:jc w:val="both"/>
        <w:textAlignment w:val="baseline"/>
        <w:outlineLvl w:val="1"/>
        <w:rPr>
          <w:rFonts w:hint="eastAsia" w:ascii="宋体" w:hAnsi="宋体" w:eastAsia="宋体" w:cs="宋体"/>
          <w:b/>
          <w:bCs/>
          <w:color w:val="auto"/>
          <w:spacing w:val="-6"/>
          <w:sz w:val="28"/>
          <w:szCs w:val="28"/>
          <w:highlight w:val="none"/>
        </w:rPr>
      </w:pPr>
      <w:bookmarkStart w:id="10" w:name="_Toc14786"/>
      <w:r>
        <w:rPr>
          <w:rFonts w:hint="default" w:ascii="Times New Roman" w:hAnsi="Times New Roman" w:eastAsia="宋体" w:cs="Times New Roman"/>
          <w:b/>
          <w:bCs/>
          <w:color w:val="auto"/>
          <w:spacing w:val="-6"/>
          <w:sz w:val="28"/>
          <w:szCs w:val="28"/>
          <w:highlight w:val="none"/>
          <w:lang w:val="en-US" w:eastAsia="zh-CN"/>
        </w:rPr>
        <w:t>5</w:t>
      </w:r>
      <w:r>
        <w:rPr>
          <w:rFonts w:hint="default" w:ascii="Times New Roman" w:hAnsi="Times New Roman" w:eastAsia="宋体" w:cs="Times New Roman"/>
          <w:b/>
          <w:bCs/>
          <w:color w:val="auto"/>
          <w:spacing w:val="-6"/>
          <w:sz w:val="28"/>
          <w:szCs w:val="28"/>
          <w:highlight w:val="none"/>
        </w:rPr>
        <w:t>.1</w:t>
      </w:r>
      <w:r>
        <w:rPr>
          <w:rFonts w:hint="eastAsia" w:ascii="Times New Roman" w:hAnsi="Times New Roman" w:eastAsia="宋体" w:cs="Times New Roman"/>
          <w:b/>
          <w:bCs/>
          <w:color w:val="auto"/>
          <w:spacing w:val="-6"/>
          <w:sz w:val="28"/>
          <w:szCs w:val="28"/>
          <w:highlight w:val="none"/>
          <w:lang w:val="en-US" w:eastAsia="zh-CN"/>
        </w:rPr>
        <w:t xml:space="preserve">       </w:t>
      </w:r>
      <w:r>
        <w:rPr>
          <w:rFonts w:hint="eastAsia" w:ascii="宋体" w:hAnsi="宋体" w:eastAsia="宋体" w:cs="宋体"/>
          <w:b/>
          <w:bCs/>
          <w:color w:val="auto"/>
          <w:spacing w:val="-6"/>
          <w:sz w:val="28"/>
          <w:szCs w:val="28"/>
          <w:highlight w:val="none"/>
        </w:rPr>
        <w:t>原则</w:t>
      </w:r>
      <w:bookmarkEnd w:id="10"/>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5</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.1.1</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应用项目的检查与评价</w:t>
      </w:r>
      <w:r>
        <w:rPr>
          <w:rFonts w:hint="eastAsia" w:ascii="宋体" w:hAnsi="宋体" w:eastAsia="宋体" w:cs="宋体"/>
          <w:snapToGrid w:val="0"/>
          <w:color w:val="auto"/>
          <w:spacing w:val="-3"/>
          <w:kern w:val="0"/>
          <w:position w:val="17"/>
          <w:sz w:val="28"/>
          <w:szCs w:val="28"/>
          <w:highlight w:val="none"/>
          <w:lang w:val="en-US" w:eastAsia="en-US" w:bidi="ar-SA"/>
        </w:rPr>
        <w:t>应在综合考虑建设项目应用的绿色建材比例的基础上，对建设项目相关文件和资料等内容进行</w:t>
      </w:r>
      <w:r>
        <w:rPr>
          <w:rFonts w:hint="eastAsia" w:ascii="宋体" w:hAnsi="宋体" w:eastAsia="宋体" w:cs="宋体"/>
          <w:snapToGrid w:val="0"/>
          <w:color w:val="auto"/>
          <w:spacing w:val="-3"/>
          <w:kern w:val="0"/>
          <w:position w:val="17"/>
          <w:sz w:val="28"/>
          <w:szCs w:val="28"/>
          <w:highlight w:val="none"/>
          <w:lang w:val="en-US" w:eastAsia="zh-CN" w:bidi="ar-SA"/>
        </w:rPr>
        <w:t>评价</w:t>
      </w:r>
      <w:r>
        <w:rPr>
          <w:rFonts w:hint="eastAsia" w:ascii="宋体" w:hAnsi="宋体" w:eastAsia="宋体" w:cs="宋体"/>
          <w:snapToGrid w:val="0"/>
          <w:color w:val="auto"/>
          <w:spacing w:val="-3"/>
          <w:kern w:val="0"/>
          <w:position w:val="17"/>
          <w:sz w:val="28"/>
          <w:szCs w:val="28"/>
          <w:highlight w:val="none"/>
          <w:lang w:val="en-US" w:eastAsia="en-US" w:bidi="ar-SA"/>
        </w:rPr>
        <w:t>，其内容必须实事求是、客观、公正。</w:t>
      </w: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5</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.1.</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2</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应用项目在设计及建设过程中应接受绿色建材应用情况检查，并在竣工验收备案前完成绿色建材应用评价。</w:t>
      </w:r>
    </w:p>
    <w:p>
      <w:pPr>
        <w:keepNext w:val="0"/>
        <w:keepLines w:val="0"/>
        <w:pageBreakBefore w:val="0"/>
        <w:widowControl/>
        <w:kinsoku/>
        <w:wordWrap/>
        <w:overflowPunct/>
        <w:topLinePunct w:val="0"/>
        <w:autoSpaceDE w:val="0"/>
        <w:autoSpaceDN w:val="0"/>
        <w:bidi w:val="0"/>
        <w:adjustRightInd w:val="0"/>
        <w:snapToGrid w:val="0"/>
        <w:spacing w:before="91" w:line="360" w:lineRule="auto"/>
        <w:jc w:val="both"/>
        <w:textAlignment w:val="baseline"/>
        <w:outlineLvl w:val="1"/>
        <w:rPr>
          <w:rFonts w:hint="eastAsia" w:ascii="宋体" w:hAnsi="宋体" w:eastAsia="宋体" w:cs="宋体"/>
          <w:color w:val="auto"/>
          <w:sz w:val="28"/>
          <w:szCs w:val="28"/>
          <w:highlight w:val="none"/>
        </w:rPr>
      </w:pPr>
      <w:bookmarkStart w:id="11" w:name="bookmark6"/>
      <w:bookmarkEnd w:id="11"/>
      <w:bookmarkStart w:id="12" w:name="_Toc5789"/>
      <w:r>
        <w:rPr>
          <w:rFonts w:hint="default" w:ascii="Times New Roman" w:hAnsi="Times New Roman" w:eastAsia="宋体" w:cs="Times New Roman"/>
          <w:b/>
          <w:bCs/>
          <w:color w:val="auto"/>
          <w:spacing w:val="-5"/>
          <w:sz w:val="28"/>
          <w:szCs w:val="28"/>
          <w:highlight w:val="none"/>
          <w:lang w:val="en-US" w:eastAsia="zh-CN"/>
        </w:rPr>
        <w:t>5.</w:t>
      </w:r>
      <w:r>
        <w:rPr>
          <w:rFonts w:hint="default" w:ascii="Times New Roman" w:hAnsi="Times New Roman" w:eastAsia="宋体" w:cs="Times New Roman"/>
          <w:b/>
          <w:bCs/>
          <w:color w:val="auto"/>
          <w:spacing w:val="-5"/>
          <w:sz w:val="28"/>
          <w:szCs w:val="28"/>
          <w:highlight w:val="none"/>
        </w:rPr>
        <w:t>2</w:t>
      </w:r>
      <w:r>
        <w:rPr>
          <w:rFonts w:hint="eastAsia" w:ascii="宋体" w:hAnsi="宋体" w:eastAsia="宋体" w:cs="宋体"/>
          <w:b/>
          <w:bCs/>
          <w:color w:val="auto"/>
          <w:spacing w:val="12"/>
          <w:sz w:val="28"/>
          <w:szCs w:val="28"/>
          <w:highlight w:val="none"/>
        </w:rPr>
        <w:t xml:space="preserve"> </w:t>
      </w:r>
      <w:r>
        <w:rPr>
          <w:rFonts w:hint="eastAsia" w:ascii="宋体" w:hAnsi="宋体" w:eastAsia="宋体" w:cs="宋体"/>
          <w:b/>
          <w:bCs/>
          <w:color w:val="auto"/>
          <w:spacing w:val="12"/>
          <w:sz w:val="28"/>
          <w:szCs w:val="28"/>
          <w:highlight w:val="none"/>
          <w:lang w:val="en-US" w:eastAsia="zh-CN"/>
        </w:rPr>
        <w:t xml:space="preserve">  </w:t>
      </w:r>
      <w:r>
        <w:rPr>
          <w:rFonts w:hint="eastAsia" w:ascii="宋体" w:hAnsi="宋体" w:eastAsia="宋体" w:cs="宋体"/>
          <w:b/>
          <w:bCs/>
          <w:color w:val="auto"/>
          <w:spacing w:val="-5"/>
          <w:sz w:val="28"/>
          <w:szCs w:val="28"/>
          <w:highlight w:val="none"/>
        </w:rPr>
        <w:t>方法</w:t>
      </w:r>
      <w:bookmarkEnd w:id="12"/>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5</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.2.1</w:t>
      </w:r>
      <w:r>
        <w:rPr>
          <w:rFonts w:hint="eastAsia" w:ascii="宋体" w:hAnsi="宋体" w:eastAsia="宋体" w:cs="宋体"/>
          <w:b/>
          <w:bCs/>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绿色建材</w:t>
      </w:r>
      <w:r>
        <w:rPr>
          <w:rFonts w:hint="eastAsia" w:ascii="宋体" w:hAnsi="宋体" w:eastAsia="宋体" w:cs="宋体"/>
          <w:snapToGrid w:val="0"/>
          <w:color w:val="auto"/>
          <w:spacing w:val="-3"/>
          <w:kern w:val="0"/>
          <w:position w:val="17"/>
          <w:sz w:val="28"/>
          <w:szCs w:val="28"/>
          <w:highlight w:val="none"/>
          <w:lang w:val="en-US" w:eastAsia="zh-CN" w:bidi="ar-SA"/>
        </w:rPr>
        <w:t>应用项目检查</w:t>
      </w:r>
      <w:r>
        <w:rPr>
          <w:rFonts w:hint="eastAsia" w:ascii="宋体" w:hAnsi="宋体" w:eastAsia="宋体" w:cs="宋体"/>
          <w:snapToGrid w:val="0"/>
          <w:color w:val="auto"/>
          <w:spacing w:val="-3"/>
          <w:kern w:val="0"/>
          <w:position w:val="17"/>
          <w:sz w:val="28"/>
          <w:szCs w:val="28"/>
          <w:highlight w:val="none"/>
          <w:lang w:val="en-US" w:eastAsia="en-US" w:bidi="ar-SA"/>
        </w:rPr>
        <w:t>主要可采用现场调查、资料收集、对比分析、专题调研、模拟验算、检验检测等方法</w:t>
      </w:r>
      <w:r>
        <w:rPr>
          <w:rFonts w:hint="eastAsia" w:ascii="宋体" w:hAnsi="宋体" w:eastAsia="宋体" w:cs="宋体"/>
          <w:snapToGrid w:val="0"/>
          <w:color w:val="auto"/>
          <w:spacing w:val="-3"/>
          <w:kern w:val="0"/>
          <w:position w:val="17"/>
          <w:sz w:val="28"/>
          <w:szCs w:val="28"/>
          <w:highlight w:val="none"/>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color w:val="auto"/>
          <w:sz w:val="28"/>
          <w:szCs w:val="28"/>
          <w:highlight w:val="none"/>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5</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.2.</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2</w:t>
      </w:r>
      <w:r>
        <w:rPr>
          <w:rFonts w:hint="eastAsia" w:ascii="宋体" w:hAnsi="宋体" w:eastAsia="宋体" w:cs="宋体"/>
          <w:b/>
          <w:bCs/>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绿色建材</w:t>
      </w:r>
      <w:r>
        <w:rPr>
          <w:rFonts w:hint="eastAsia" w:ascii="宋体" w:hAnsi="宋体" w:eastAsia="宋体" w:cs="宋体"/>
          <w:snapToGrid w:val="0"/>
          <w:color w:val="auto"/>
          <w:spacing w:val="-3"/>
          <w:kern w:val="0"/>
          <w:position w:val="17"/>
          <w:sz w:val="28"/>
          <w:szCs w:val="28"/>
          <w:highlight w:val="none"/>
          <w:lang w:val="en-US" w:eastAsia="zh-CN" w:bidi="ar-SA"/>
        </w:rPr>
        <w:t>应用项目评价应</w:t>
      </w:r>
      <w:r>
        <w:rPr>
          <w:rFonts w:hint="eastAsia" w:ascii="宋体" w:hAnsi="宋体" w:eastAsia="宋体" w:cs="宋体"/>
          <w:snapToGrid w:val="0"/>
          <w:color w:val="auto"/>
          <w:spacing w:val="-3"/>
          <w:kern w:val="0"/>
          <w:position w:val="17"/>
          <w:sz w:val="28"/>
          <w:szCs w:val="28"/>
          <w:highlight w:val="none"/>
          <w:lang w:val="en-US" w:eastAsia="en-US" w:bidi="ar-SA"/>
        </w:rPr>
        <w:t>采用现场调查、资料收集、</w:t>
      </w:r>
      <w:r>
        <w:rPr>
          <w:rFonts w:hint="eastAsia" w:ascii="宋体" w:hAnsi="宋体" w:eastAsia="宋体" w:cs="宋体"/>
          <w:snapToGrid w:val="0"/>
          <w:color w:val="auto"/>
          <w:spacing w:val="-3"/>
          <w:kern w:val="0"/>
          <w:position w:val="17"/>
          <w:sz w:val="28"/>
          <w:szCs w:val="28"/>
          <w:highlight w:val="none"/>
          <w:lang w:val="en-US" w:eastAsia="zh-CN" w:bidi="ar-SA"/>
        </w:rPr>
        <w:t>复核</w:t>
      </w:r>
      <w:r>
        <w:rPr>
          <w:rFonts w:hint="eastAsia" w:ascii="宋体" w:hAnsi="宋体" w:eastAsia="宋体" w:cs="宋体"/>
          <w:snapToGrid w:val="0"/>
          <w:color w:val="auto"/>
          <w:spacing w:val="-3"/>
          <w:kern w:val="0"/>
          <w:position w:val="17"/>
          <w:sz w:val="28"/>
          <w:szCs w:val="28"/>
          <w:highlight w:val="none"/>
          <w:lang w:val="en-US" w:eastAsia="en-US" w:bidi="ar-SA"/>
        </w:rPr>
        <w:t>验算、检验检测等方法</w:t>
      </w:r>
      <w:r>
        <w:rPr>
          <w:rFonts w:hint="eastAsia" w:ascii="宋体" w:hAnsi="宋体" w:eastAsia="宋体" w:cs="宋体"/>
          <w:snapToGrid w:val="0"/>
          <w:color w:val="auto"/>
          <w:spacing w:val="-3"/>
          <w:kern w:val="0"/>
          <w:position w:val="17"/>
          <w:sz w:val="28"/>
          <w:szCs w:val="28"/>
          <w:highlight w:val="none"/>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before="92" w:line="360" w:lineRule="auto"/>
        <w:ind w:left="1"/>
        <w:jc w:val="both"/>
        <w:textAlignment w:val="baseline"/>
        <w:outlineLvl w:val="1"/>
        <w:rPr>
          <w:rFonts w:hint="eastAsia" w:ascii="宋体" w:hAnsi="宋体" w:eastAsia="宋体" w:cs="宋体"/>
          <w:color w:val="auto"/>
          <w:sz w:val="28"/>
          <w:szCs w:val="28"/>
          <w:highlight w:val="none"/>
        </w:rPr>
      </w:pPr>
      <w:bookmarkStart w:id="13" w:name="bookmark7"/>
      <w:bookmarkEnd w:id="13"/>
      <w:bookmarkStart w:id="14" w:name="_Toc8618"/>
      <w:r>
        <w:rPr>
          <w:rFonts w:hint="default" w:ascii="Times New Roman" w:hAnsi="Times New Roman" w:eastAsia="宋体" w:cs="Times New Roman"/>
          <w:b/>
          <w:bCs/>
          <w:color w:val="auto"/>
          <w:spacing w:val="-2"/>
          <w:sz w:val="28"/>
          <w:szCs w:val="28"/>
          <w:highlight w:val="none"/>
          <w:lang w:val="en-US" w:eastAsia="zh-CN"/>
        </w:rPr>
        <w:t>5</w:t>
      </w:r>
      <w:r>
        <w:rPr>
          <w:rFonts w:hint="default" w:ascii="Times New Roman" w:hAnsi="Times New Roman" w:eastAsia="宋体" w:cs="Times New Roman"/>
          <w:b/>
          <w:bCs/>
          <w:color w:val="auto"/>
          <w:spacing w:val="-2"/>
          <w:sz w:val="28"/>
          <w:szCs w:val="28"/>
          <w:highlight w:val="none"/>
        </w:rPr>
        <w:t>.3</w:t>
      </w:r>
      <w:r>
        <w:rPr>
          <w:rFonts w:hint="eastAsia" w:ascii="宋体" w:hAnsi="宋体" w:eastAsia="宋体" w:cs="宋体"/>
          <w:b/>
          <w:bCs/>
          <w:color w:val="auto"/>
          <w:spacing w:val="-2"/>
          <w:sz w:val="28"/>
          <w:szCs w:val="28"/>
          <w:highlight w:val="none"/>
        </w:rPr>
        <w:t xml:space="preserve">  </w:t>
      </w:r>
      <w:r>
        <w:rPr>
          <w:rFonts w:hint="eastAsia" w:ascii="宋体" w:hAnsi="宋体" w:eastAsia="宋体" w:cs="宋体"/>
          <w:b/>
          <w:bCs/>
          <w:color w:val="auto"/>
          <w:spacing w:val="-2"/>
          <w:sz w:val="28"/>
          <w:szCs w:val="28"/>
          <w:highlight w:val="none"/>
          <w:lang w:val="en-US" w:eastAsia="zh-CN"/>
        </w:rPr>
        <w:t xml:space="preserve"> </w:t>
      </w:r>
      <w:r>
        <w:rPr>
          <w:rFonts w:hint="eastAsia" w:ascii="宋体" w:hAnsi="宋体" w:eastAsia="宋体" w:cs="宋体"/>
          <w:b/>
          <w:bCs/>
          <w:color w:val="auto"/>
          <w:spacing w:val="-2"/>
          <w:sz w:val="28"/>
          <w:szCs w:val="28"/>
          <w:highlight w:val="none"/>
        </w:rPr>
        <w:t>基本内容</w:t>
      </w:r>
      <w:bookmarkEnd w:id="14"/>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5</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.3.</w:t>
      </w: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1</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绿色建材</w:t>
      </w:r>
      <w:r>
        <w:rPr>
          <w:rFonts w:hint="eastAsia" w:ascii="宋体" w:hAnsi="宋体" w:eastAsia="宋体" w:cs="宋体"/>
          <w:snapToGrid w:val="0"/>
          <w:color w:val="auto"/>
          <w:spacing w:val="-3"/>
          <w:kern w:val="0"/>
          <w:position w:val="17"/>
          <w:sz w:val="28"/>
          <w:szCs w:val="28"/>
          <w:highlight w:val="none"/>
          <w:lang w:val="en-US" w:eastAsia="zh-CN" w:bidi="ar-SA"/>
        </w:rPr>
        <w:t>应用项目检查与评价</w:t>
      </w:r>
      <w:r>
        <w:rPr>
          <w:rFonts w:hint="eastAsia" w:ascii="宋体" w:hAnsi="宋体" w:eastAsia="宋体" w:cs="宋体"/>
          <w:snapToGrid w:val="0"/>
          <w:color w:val="auto"/>
          <w:spacing w:val="-3"/>
          <w:kern w:val="0"/>
          <w:position w:val="17"/>
          <w:sz w:val="28"/>
          <w:szCs w:val="28"/>
          <w:highlight w:val="none"/>
          <w:lang w:val="en-US" w:eastAsia="en-US" w:bidi="ar-SA"/>
        </w:rPr>
        <w:t>应对建设项目与法律法规、规范标准等有关政策的符合性做出</w:t>
      </w:r>
      <w:r>
        <w:rPr>
          <w:rFonts w:hint="eastAsia" w:ascii="宋体" w:hAnsi="宋体" w:eastAsia="宋体" w:cs="宋体"/>
          <w:snapToGrid w:val="0"/>
          <w:color w:val="auto"/>
          <w:spacing w:val="-3"/>
          <w:kern w:val="0"/>
          <w:position w:val="17"/>
          <w:sz w:val="28"/>
          <w:szCs w:val="28"/>
          <w:highlight w:val="none"/>
          <w:lang w:val="en-US" w:eastAsia="zh-CN" w:bidi="ar-SA"/>
        </w:rPr>
        <w:t>评价</w:t>
      </w:r>
      <w:r>
        <w:rPr>
          <w:rFonts w:hint="eastAsia" w:ascii="宋体" w:hAnsi="宋体" w:eastAsia="宋体" w:cs="宋体"/>
          <w:snapToGrid w:val="0"/>
          <w:color w:val="auto"/>
          <w:spacing w:val="-3"/>
          <w:kern w:val="0"/>
          <w:position w:val="17"/>
          <w:sz w:val="28"/>
          <w:szCs w:val="28"/>
          <w:highlight w:val="non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5</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.3.</w:t>
      </w: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2</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绿色建材</w:t>
      </w:r>
      <w:r>
        <w:rPr>
          <w:rFonts w:hint="eastAsia" w:ascii="宋体" w:hAnsi="宋体" w:eastAsia="宋体" w:cs="宋体"/>
          <w:snapToGrid w:val="0"/>
          <w:color w:val="auto"/>
          <w:spacing w:val="-3"/>
          <w:kern w:val="0"/>
          <w:position w:val="17"/>
          <w:sz w:val="28"/>
          <w:szCs w:val="28"/>
          <w:highlight w:val="none"/>
          <w:lang w:val="en-US" w:eastAsia="zh-CN" w:bidi="ar-SA"/>
        </w:rPr>
        <w:t>应用项目检查与评价</w:t>
      </w:r>
      <w:r>
        <w:rPr>
          <w:rFonts w:hint="eastAsia" w:ascii="宋体" w:hAnsi="宋体" w:eastAsia="宋体" w:cs="宋体"/>
          <w:snapToGrid w:val="0"/>
          <w:color w:val="auto"/>
          <w:spacing w:val="-3"/>
          <w:kern w:val="0"/>
          <w:position w:val="17"/>
          <w:sz w:val="28"/>
          <w:szCs w:val="28"/>
          <w:highlight w:val="none"/>
          <w:lang w:val="en-US" w:eastAsia="en-US" w:bidi="ar-SA"/>
        </w:rPr>
        <w:t>应对以下项目进行符合性</w:t>
      </w:r>
      <w:r>
        <w:rPr>
          <w:rFonts w:hint="eastAsia" w:ascii="宋体" w:hAnsi="宋体" w:eastAsia="宋体" w:cs="宋体"/>
          <w:snapToGrid w:val="0"/>
          <w:color w:val="auto"/>
          <w:spacing w:val="-3"/>
          <w:kern w:val="0"/>
          <w:position w:val="17"/>
          <w:sz w:val="28"/>
          <w:szCs w:val="28"/>
          <w:highlight w:val="none"/>
          <w:lang w:val="en-US" w:eastAsia="zh-CN" w:bidi="ar-SA"/>
        </w:rPr>
        <w:t>评价</w:t>
      </w:r>
      <w:r>
        <w:rPr>
          <w:rFonts w:hint="eastAsia" w:ascii="宋体" w:hAnsi="宋体" w:eastAsia="宋体" w:cs="宋体"/>
          <w:snapToGrid w:val="0"/>
          <w:color w:val="auto"/>
          <w:spacing w:val="-3"/>
          <w:kern w:val="0"/>
          <w:position w:val="17"/>
          <w:sz w:val="28"/>
          <w:szCs w:val="28"/>
          <w:highlight w:val="non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1</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绿色建材</w:t>
      </w:r>
      <w:r>
        <w:rPr>
          <w:rFonts w:hint="eastAsia" w:ascii="宋体" w:hAnsi="宋体" w:eastAsia="宋体" w:cs="宋体"/>
          <w:snapToGrid w:val="0"/>
          <w:color w:val="auto"/>
          <w:spacing w:val="-3"/>
          <w:kern w:val="0"/>
          <w:position w:val="17"/>
          <w:sz w:val="28"/>
          <w:szCs w:val="28"/>
          <w:highlight w:val="none"/>
          <w:lang w:val="en-US" w:eastAsia="zh-CN" w:bidi="ar-SA"/>
        </w:rPr>
        <w:t>应用项目检查与评价</w:t>
      </w:r>
      <w:r>
        <w:rPr>
          <w:rFonts w:hint="eastAsia" w:ascii="宋体" w:hAnsi="宋体" w:eastAsia="宋体" w:cs="宋体"/>
          <w:snapToGrid w:val="0"/>
          <w:color w:val="auto"/>
          <w:spacing w:val="-3"/>
          <w:kern w:val="0"/>
          <w:position w:val="17"/>
          <w:sz w:val="28"/>
          <w:szCs w:val="28"/>
          <w:highlight w:val="none"/>
          <w:lang w:val="en-US" w:eastAsia="en-US" w:bidi="ar-SA"/>
        </w:rPr>
        <w:t>应对建材供应商提供的检测报告或认证证书或符合性证明等文件的可靠性进行</w:t>
      </w:r>
      <w:r>
        <w:rPr>
          <w:rFonts w:hint="eastAsia" w:ascii="宋体" w:hAnsi="宋体" w:eastAsia="宋体" w:cs="宋体"/>
          <w:snapToGrid w:val="0"/>
          <w:color w:val="auto"/>
          <w:spacing w:val="-3"/>
          <w:kern w:val="0"/>
          <w:position w:val="17"/>
          <w:sz w:val="28"/>
          <w:szCs w:val="28"/>
          <w:highlight w:val="none"/>
          <w:lang w:val="en-US" w:eastAsia="zh-CN" w:bidi="ar-SA"/>
        </w:rPr>
        <w:t>评价</w:t>
      </w:r>
      <w:r>
        <w:rPr>
          <w:rFonts w:hint="eastAsia" w:ascii="宋体" w:hAnsi="宋体" w:eastAsia="宋体" w:cs="宋体"/>
          <w:snapToGrid w:val="0"/>
          <w:color w:val="auto"/>
          <w:spacing w:val="-3"/>
          <w:kern w:val="0"/>
          <w:position w:val="17"/>
          <w:sz w:val="28"/>
          <w:szCs w:val="28"/>
          <w:highlight w:val="non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2</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绿色建材</w:t>
      </w:r>
      <w:r>
        <w:rPr>
          <w:rFonts w:hint="eastAsia" w:ascii="宋体" w:hAnsi="宋体" w:eastAsia="宋体" w:cs="宋体"/>
          <w:snapToGrid w:val="0"/>
          <w:color w:val="auto"/>
          <w:spacing w:val="-3"/>
          <w:kern w:val="0"/>
          <w:position w:val="17"/>
          <w:sz w:val="28"/>
          <w:szCs w:val="28"/>
          <w:highlight w:val="none"/>
          <w:lang w:val="en-US" w:eastAsia="zh-CN" w:bidi="ar-SA"/>
        </w:rPr>
        <w:t>应用项目检查与评价</w:t>
      </w:r>
      <w:r>
        <w:rPr>
          <w:rFonts w:hint="eastAsia" w:ascii="宋体" w:hAnsi="宋体" w:eastAsia="宋体" w:cs="宋体"/>
          <w:snapToGrid w:val="0"/>
          <w:color w:val="auto"/>
          <w:spacing w:val="-3"/>
          <w:kern w:val="0"/>
          <w:position w:val="17"/>
          <w:sz w:val="28"/>
          <w:szCs w:val="28"/>
          <w:highlight w:val="none"/>
          <w:lang w:val="en-US" w:eastAsia="en-US" w:bidi="ar-SA"/>
        </w:rPr>
        <w:t>应对责任单位提供的绿色建材进场验收合格证明的可靠性进行</w:t>
      </w:r>
      <w:r>
        <w:rPr>
          <w:rFonts w:hint="eastAsia" w:ascii="宋体" w:hAnsi="宋体" w:eastAsia="宋体" w:cs="宋体"/>
          <w:snapToGrid w:val="0"/>
          <w:color w:val="auto"/>
          <w:spacing w:val="-3"/>
          <w:kern w:val="0"/>
          <w:position w:val="17"/>
          <w:sz w:val="28"/>
          <w:szCs w:val="28"/>
          <w:highlight w:val="none"/>
          <w:lang w:val="en-US" w:eastAsia="zh-CN" w:bidi="ar-SA"/>
        </w:rPr>
        <w:t>评价</w:t>
      </w:r>
      <w:r>
        <w:rPr>
          <w:rFonts w:hint="eastAsia" w:ascii="宋体" w:hAnsi="宋体" w:eastAsia="宋体" w:cs="宋体"/>
          <w:snapToGrid w:val="0"/>
          <w:color w:val="auto"/>
          <w:spacing w:val="-3"/>
          <w:kern w:val="0"/>
          <w:position w:val="17"/>
          <w:sz w:val="28"/>
          <w:szCs w:val="28"/>
          <w:highlight w:val="non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3</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绿色建材</w:t>
      </w:r>
      <w:r>
        <w:rPr>
          <w:rFonts w:hint="eastAsia" w:ascii="宋体" w:hAnsi="宋体" w:eastAsia="宋体" w:cs="宋体"/>
          <w:snapToGrid w:val="0"/>
          <w:color w:val="auto"/>
          <w:spacing w:val="-3"/>
          <w:kern w:val="0"/>
          <w:position w:val="17"/>
          <w:sz w:val="28"/>
          <w:szCs w:val="28"/>
          <w:highlight w:val="none"/>
          <w:lang w:val="en-US" w:eastAsia="zh-CN" w:bidi="ar-SA"/>
        </w:rPr>
        <w:t>应用项目检查与评价</w:t>
      </w:r>
      <w:r>
        <w:rPr>
          <w:rFonts w:hint="eastAsia" w:ascii="宋体" w:hAnsi="宋体" w:eastAsia="宋体" w:cs="宋体"/>
          <w:snapToGrid w:val="0"/>
          <w:color w:val="auto"/>
          <w:spacing w:val="-3"/>
          <w:kern w:val="0"/>
          <w:position w:val="17"/>
          <w:sz w:val="28"/>
          <w:szCs w:val="28"/>
          <w:highlight w:val="none"/>
          <w:lang w:val="en-US" w:eastAsia="en-US" w:bidi="ar-SA"/>
        </w:rPr>
        <w:t>应对建设单位提供的绿色建材应用比例计算书的可靠性进行</w:t>
      </w:r>
      <w:r>
        <w:rPr>
          <w:rFonts w:hint="eastAsia" w:ascii="宋体" w:hAnsi="宋体" w:eastAsia="宋体" w:cs="宋体"/>
          <w:snapToGrid w:val="0"/>
          <w:color w:val="auto"/>
          <w:spacing w:val="-3"/>
          <w:kern w:val="0"/>
          <w:position w:val="17"/>
          <w:sz w:val="28"/>
          <w:szCs w:val="28"/>
          <w:highlight w:val="none"/>
          <w:lang w:val="en-US" w:eastAsia="zh-CN" w:bidi="ar-SA"/>
        </w:rPr>
        <w:t>评价</w:t>
      </w:r>
      <w:r>
        <w:rPr>
          <w:rFonts w:hint="eastAsia" w:ascii="宋体" w:hAnsi="宋体" w:eastAsia="宋体" w:cs="宋体"/>
          <w:snapToGrid w:val="0"/>
          <w:color w:val="auto"/>
          <w:spacing w:val="-3"/>
          <w:kern w:val="0"/>
          <w:position w:val="17"/>
          <w:sz w:val="28"/>
          <w:szCs w:val="28"/>
          <w:highlight w:val="none"/>
          <w:lang w:val="en-US" w:eastAsia="en-US" w:bidi="ar-SA"/>
        </w:rPr>
        <w:t>。</w:t>
      </w:r>
    </w:p>
    <w:p>
      <w:pPr>
        <w:keepNext w:val="0"/>
        <w:keepLines w:val="0"/>
        <w:pageBreakBefore w:val="0"/>
        <w:kinsoku/>
        <w:overflowPunct/>
        <w:topLinePunct w:val="0"/>
        <w:bidi w:val="0"/>
        <w:spacing w:before="101" w:line="223" w:lineRule="auto"/>
        <w:jc w:val="both"/>
        <w:outlineLvl w:val="0"/>
        <w:rPr>
          <w:rFonts w:ascii="Times New Roman" w:hAnsi="Times New Roman" w:eastAsia="Times New Roman" w:cs="Times New Roman"/>
          <w:b/>
          <w:bCs/>
          <w:color w:val="auto"/>
          <w:spacing w:val="3"/>
          <w:sz w:val="31"/>
          <w:szCs w:val="31"/>
          <w:highlight w:val="none"/>
        </w:rPr>
      </w:pPr>
      <w:bookmarkStart w:id="15" w:name="bookmark9"/>
      <w:bookmarkEnd w:id="15"/>
      <w:bookmarkStart w:id="16" w:name="bookmark8"/>
      <w:bookmarkEnd w:id="16"/>
    </w:p>
    <w:p>
      <w:pPr>
        <w:keepNext w:val="0"/>
        <w:keepLines w:val="0"/>
        <w:pageBreakBefore w:val="0"/>
        <w:kinsoku/>
        <w:overflowPunct/>
        <w:topLinePunct w:val="0"/>
        <w:bidi w:val="0"/>
        <w:spacing w:before="101" w:line="223" w:lineRule="auto"/>
        <w:jc w:val="both"/>
        <w:outlineLvl w:val="0"/>
        <w:rPr>
          <w:rFonts w:ascii="Times New Roman" w:hAnsi="Times New Roman" w:eastAsia="Times New Roman" w:cs="Times New Roman"/>
          <w:b/>
          <w:bCs/>
          <w:color w:val="auto"/>
          <w:spacing w:val="3"/>
          <w:sz w:val="31"/>
          <w:szCs w:val="31"/>
          <w:highlight w:val="none"/>
        </w:rPr>
      </w:pPr>
    </w:p>
    <w:p>
      <w:pPr>
        <w:keepNext w:val="0"/>
        <w:keepLines w:val="0"/>
        <w:pageBreakBefore w:val="0"/>
        <w:kinsoku/>
        <w:overflowPunct/>
        <w:topLinePunct w:val="0"/>
        <w:bidi w:val="0"/>
        <w:spacing w:before="101" w:line="223" w:lineRule="auto"/>
        <w:jc w:val="center"/>
        <w:outlineLvl w:val="0"/>
        <w:rPr>
          <w:rFonts w:hint="eastAsia" w:ascii="宋体" w:hAnsi="宋体" w:eastAsia="宋体" w:cs="宋体"/>
          <w:b/>
          <w:bCs/>
          <w:color w:val="auto"/>
          <w:spacing w:val="3"/>
          <w:sz w:val="32"/>
          <w:szCs w:val="32"/>
          <w:highlight w:val="none"/>
        </w:rPr>
      </w:pPr>
      <w:bookmarkStart w:id="17" w:name="_Toc15708"/>
      <w:r>
        <w:rPr>
          <w:rFonts w:hint="default" w:ascii="Times New Roman" w:hAnsi="Times New Roman" w:eastAsia="宋体" w:cs="Times New Roman"/>
          <w:b/>
          <w:bCs/>
          <w:color w:val="auto"/>
          <w:spacing w:val="3"/>
          <w:sz w:val="32"/>
          <w:szCs w:val="32"/>
          <w:highlight w:val="none"/>
          <w:lang w:val="en-US" w:eastAsia="zh-CN"/>
        </w:rPr>
        <w:t>6</w:t>
      </w:r>
      <w:r>
        <w:rPr>
          <w:rFonts w:hint="eastAsia" w:ascii="宋体" w:hAnsi="宋体" w:eastAsia="宋体" w:cs="宋体"/>
          <w:b/>
          <w:bCs/>
          <w:color w:val="auto"/>
          <w:spacing w:val="3"/>
          <w:sz w:val="32"/>
          <w:szCs w:val="32"/>
          <w:highlight w:val="none"/>
          <w:lang w:val="en-US" w:eastAsia="zh-CN"/>
        </w:rPr>
        <w:t xml:space="preserve">  检查与</w:t>
      </w:r>
      <w:r>
        <w:rPr>
          <w:rFonts w:hint="eastAsia" w:ascii="宋体" w:hAnsi="宋体" w:eastAsia="宋体" w:cs="宋体"/>
          <w:b/>
          <w:bCs/>
          <w:color w:val="auto"/>
          <w:spacing w:val="3"/>
          <w:sz w:val="32"/>
          <w:szCs w:val="32"/>
          <w:highlight w:val="none"/>
        </w:rPr>
        <w:t>评价材料要求</w:t>
      </w:r>
      <w:bookmarkEnd w:id="17"/>
    </w:p>
    <w:p>
      <w:pPr>
        <w:pStyle w:val="3"/>
        <w:keepNext w:val="0"/>
        <w:keepLines w:val="0"/>
        <w:pageBreakBefore w:val="0"/>
        <w:kinsoku/>
        <w:overflowPunct/>
        <w:topLinePunct w:val="0"/>
        <w:bidi w:val="0"/>
        <w:ind w:left="0" w:leftChars="0" w:firstLine="0" w:firstLineChars="0"/>
        <w:jc w:val="both"/>
        <w:rPr>
          <w:rFonts w:hint="eastAsia"/>
          <w:color w:val="auto"/>
        </w:rPr>
      </w:pPr>
    </w:p>
    <w:p>
      <w:pPr>
        <w:keepNext w:val="0"/>
        <w:keepLines w:val="0"/>
        <w:pageBreakBefore w:val="0"/>
        <w:widowControl/>
        <w:kinsoku/>
        <w:wordWrap/>
        <w:overflowPunct/>
        <w:topLinePunct w:val="0"/>
        <w:autoSpaceDE w:val="0"/>
        <w:autoSpaceDN w:val="0"/>
        <w:bidi w:val="0"/>
        <w:adjustRightInd w:val="0"/>
        <w:snapToGrid w:val="0"/>
        <w:spacing w:before="137" w:line="360" w:lineRule="auto"/>
        <w:ind w:left="1"/>
        <w:jc w:val="both"/>
        <w:textAlignment w:val="baseline"/>
        <w:outlineLvl w:val="1"/>
        <w:rPr>
          <w:rFonts w:hint="eastAsia" w:ascii="宋体" w:hAnsi="宋体" w:eastAsia="宋体" w:cs="宋体"/>
          <w:color w:val="auto"/>
          <w:sz w:val="28"/>
          <w:szCs w:val="28"/>
          <w:highlight w:val="none"/>
          <w:lang w:eastAsia="zh-CN"/>
        </w:rPr>
      </w:pPr>
      <w:bookmarkStart w:id="18" w:name="_Toc3750"/>
      <w:r>
        <w:rPr>
          <w:rFonts w:hint="default" w:ascii="Times New Roman" w:hAnsi="Times New Roman" w:eastAsia="宋体" w:cs="Times New Roman"/>
          <w:b/>
          <w:bCs/>
          <w:color w:val="auto"/>
          <w:spacing w:val="-2"/>
          <w:sz w:val="28"/>
          <w:szCs w:val="28"/>
          <w:highlight w:val="none"/>
          <w:lang w:val="en-US" w:eastAsia="zh-CN"/>
        </w:rPr>
        <w:t>6</w:t>
      </w:r>
      <w:r>
        <w:rPr>
          <w:rFonts w:hint="default" w:ascii="Times New Roman" w:hAnsi="Times New Roman" w:eastAsia="宋体" w:cs="Times New Roman"/>
          <w:b/>
          <w:bCs/>
          <w:color w:val="auto"/>
          <w:spacing w:val="-2"/>
          <w:sz w:val="28"/>
          <w:szCs w:val="28"/>
          <w:highlight w:val="none"/>
        </w:rPr>
        <w:t xml:space="preserve">.1 </w:t>
      </w:r>
      <w:r>
        <w:rPr>
          <w:rFonts w:hint="eastAsia" w:ascii="宋体" w:hAnsi="宋体" w:eastAsia="宋体" w:cs="宋体"/>
          <w:b/>
          <w:bCs/>
          <w:color w:val="auto"/>
          <w:spacing w:val="-2"/>
          <w:sz w:val="28"/>
          <w:szCs w:val="28"/>
          <w:highlight w:val="none"/>
        </w:rPr>
        <w:t xml:space="preserve"> </w:t>
      </w:r>
      <w:r>
        <w:rPr>
          <w:rFonts w:hint="eastAsia" w:ascii="宋体" w:hAnsi="宋体" w:eastAsia="宋体" w:cs="宋体"/>
          <w:b/>
          <w:bCs/>
          <w:color w:val="auto"/>
          <w:spacing w:val="-2"/>
          <w:sz w:val="28"/>
          <w:szCs w:val="28"/>
          <w:highlight w:val="none"/>
          <w:lang w:val="en-US" w:eastAsia="zh-CN"/>
        </w:rPr>
        <w:t xml:space="preserve"> </w:t>
      </w:r>
      <w:r>
        <w:rPr>
          <w:rFonts w:hint="eastAsia" w:ascii="宋体" w:hAnsi="宋体" w:eastAsia="宋体" w:cs="宋体"/>
          <w:b/>
          <w:bCs/>
          <w:color w:val="auto"/>
          <w:spacing w:val="-2"/>
          <w:sz w:val="28"/>
          <w:szCs w:val="28"/>
          <w:highlight w:val="none"/>
        </w:rPr>
        <w:t>项目</w:t>
      </w:r>
      <w:r>
        <w:rPr>
          <w:rFonts w:hint="eastAsia" w:ascii="宋体" w:hAnsi="宋体" w:eastAsia="宋体" w:cs="宋体"/>
          <w:b/>
          <w:bCs/>
          <w:color w:val="auto"/>
          <w:spacing w:val="-2"/>
          <w:sz w:val="28"/>
          <w:szCs w:val="28"/>
          <w:highlight w:val="none"/>
          <w:lang w:eastAsia="zh-CN"/>
        </w:rPr>
        <w:t>可行性研究报告专项</w:t>
      </w:r>
      <w:r>
        <w:rPr>
          <w:rFonts w:hint="eastAsia" w:ascii="宋体" w:hAnsi="宋体" w:eastAsia="宋体" w:cs="宋体"/>
          <w:b/>
          <w:bCs/>
          <w:color w:val="auto"/>
          <w:spacing w:val="-2"/>
          <w:sz w:val="28"/>
          <w:szCs w:val="28"/>
          <w:highlight w:val="none"/>
        </w:rPr>
        <w:t>资料</w:t>
      </w:r>
      <w:bookmarkEnd w:id="18"/>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6</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.1.1</w:t>
      </w:r>
      <w:r>
        <w:rPr>
          <w:rFonts w:hint="eastAsia" w:ascii="宋体" w:hAnsi="宋体" w:eastAsia="宋体" w:cs="宋体"/>
          <w:b/>
          <w:bCs/>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可行性研究报告</w:t>
      </w:r>
      <w:r>
        <w:rPr>
          <w:rFonts w:hint="eastAsia" w:ascii="宋体" w:hAnsi="宋体" w:eastAsia="宋体" w:cs="宋体"/>
          <w:snapToGrid w:val="0"/>
          <w:color w:val="auto"/>
          <w:spacing w:val="-3"/>
          <w:kern w:val="0"/>
          <w:position w:val="17"/>
          <w:sz w:val="28"/>
          <w:szCs w:val="28"/>
          <w:highlight w:val="none"/>
          <w:lang w:val="en-US" w:eastAsia="zh-CN" w:bidi="ar-SA"/>
        </w:rPr>
        <w:t>（以下简称可研）</w:t>
      </w:r>
      <w:r>
        <w:rPr>
          <w:rFonts w:hint="eastAsia" w:ascii="宋体" w:hAnsi="宋体" w:eastAsia="宋体" w:cs="宋体"/>
          <w:snapToGrid w:val="0"/>
          <w:color w:val="auto"/>
          <w:spacing w:val="-3"/>
          <w:kern w:val="0"/>
          <w:position w:val="17"/>
          <w:sz w:val="28"/>
          <w:szCs w:val="28"/>
          <w:highlight w:val="none"/>
          <w:lang w:val="en-US" w:eastAsia="en-US" w:bidi="ar-SA"/>
        </w:rPr>
        <w:t>编制单位应根据项目实际情况，对照相应区域的绿色建筑专项规划</w:t>
      </w:r>
      <w:r>
        <w:rPr>
          <w:rFonts w:hint="eastAsia" w:ascii="宋体" w:hAnsi="宋体" w:eastAsia="宋体" w:cs="宋体"/>
          <w:snapToGrid w:val="0"/>
          <w:color w:val="auto"/>
          <w:spacing w:val="-3"/>
          <w:kern w:val="0"/>
          <w:position w:val="17"/>
          <w:sz w:val="28"/>
          <w:szCs w:val="28"/>
          <w:highlight w:val="none"/>
          <w:lang w:val="en-US" w:eastAsia="zh-CN" w:bidi="ar-SA"/>
        </w:rPr>
        <w:t>、《福建省绿色建筑发展条例》</w:t>
      </w:r>
      <w:r>
        <w:rPr>
          <w:rFonts w:hint="eastAsia" w:ascii="宋体" w:hAnsi="宋体" w:eastAsia="宋体" w:cs="宋体"/>
          <w:snapToGrid w:val="0"/>
          <w:color w:val="auto"/>
          <w:spacing w:val="-3"/>
          <w:kern w:val="0"/>
          <w:position w:val="17"/>
          <w:sz w:val="28"/>
          <w:szCs w:val="28"/>
          <w:highlight w:val="none"/>
          <w:lang w:val="en-US" w:eastAsia="en-US" w:bidi="ar-SA"/>
        </w:rPr>
        <w:t>、《</w:t>
      </w:r>
      <w:r>
        <w:rPr>
          <w:rFonts w:hint="eastAsia" w:ascii="宋体" w:hAnsi="宋体" w:eastAsia="宋体" w:cs="宋体"/>
          <w:snapToGrid w:val="0"/>
          <w:color w:val="auto"/>
          <w:spacing w:val="-3"/>
          <w:kern w:val="0"/>
          <w:position w:val="17"/>
          <w:sz w:val="28"/>
          <w:szCs w:val="28"/>
          <w:highlight w:val="none"/>
          <w:lang w:val="en-US" w:eastAsia="zh-CN" w:bidi="ar-SA"/>
        </w:rPr>
        <w:t>福建省</w:t>
      </w:r>
      <w:r>
        <w:rPr>
          <w:rFonts w:hint="eastAsia" w:ascii="宋体" w:hAnsi="宋体" w:eastAsia="宋体" w:cs="宋体"/>
          <w:snapToGrid w:val="0"/>
          <w:color w:val="auto"/>
          <w:spacing w:val="-3"/>
          <w:kern w:val="0"/>
          <w:position w:val="17"/>
          <w:sz w:val="28"/>
          <w:szCs w:val="28"/>
          <w:highlight w:val="none"/>
          <w:lang w:val="en-US" w:eastAsia="en-US" w:bidi="ar-SA"/>
        </w:rPr>
        <w:t>绿色建筑设计标准》（(DB</w:t>
      </w:r>
      <w:r>
        <w:rPr>
          <w:rFonts w:hint="eastAsia" w:ascii="宋体" w:hAnsi="宋体" w:eastAsia="宋体" w:cs="宋体"/>
          <w:snapToGrid w:val="0"/>
          <w:color w:val="auto"/>
          <w:spacing w:val="-3"/>
          <w:kern w:val="0"/>
          <w:position w:val="17"/>
          <w:sz w:val="28"/>
          <w:szCs w:val="28"/>
          <w:highlight w:val="none"/>
          <w:lang w:val="en-US" w:eastAsia="zh-CN" w:bidi="ar-SA"/>
        </w:rPr>
        <w:t>J</w:t>
      </w:r>
      <w:r>
        <w:rPr>
          <w:rFonts w:hint="eastAsia" w:ascii="宋体" w:hAnsi="宋体" w:eastAsia="宋体" w:cs="宋体"/>
          <w:snapToGrid w:val="0"/>
          <w:color w:val="auto"/>
          <w:spacing w:val="-3"/>
          <w:kern w:val="0"/>
          <w:position w:val="17"/>
          <w:sz w:val="28"/>
          <w:szCs w:val="28"/>
          <w:highlight w:val="none"/>
          <w:lang w:val="en-US" w:eastAsia="en-US" w:bidi="ar-SA"/>
        </w:rPr>
        <w:t>/</w:t>
      </w:r>
      <w:r>
        <w:rPr>
          <w:rFonts w:hint="eastAsia" w:ascii="宋体" w:hAnsi="宋体" w:eastAsia="宋体" w:cs="宋体"/>
          <w:snapToGrid w:val="0"/>
          <w:color w:val="auto"/>
          <w:spacing w:val="-3"/>
          <w:kern w:val="0"/>
          <w:position w:val="17"/>
          <w:sz w:val="28"/>
          <w:szCs w:val="28"/>
          <w:highlight w:val="none"/>
          <w:lang w:val="en-US" w:eastAsia="zh-CN" w:bidi="ar-SA"/>
        </w:rPr>
        <w:t>T13</w:t>
      </w:r>
      <w:r>
        <w:rPr>
          <w:rFonts w:hint="eastAsia" w:ascii="宋体" w:hAnsi="宋体" w:eastAsia="宋体" w:cs="宋体"/>
          <w:snapToGrid w:val="0"/>
          <w:color w:val="auto"/>
          <w:spacing w:val="-3"/>
          <w:kern w:val="0"/>
          <w:position w:val="17"/>
          <w:sz w:val="28"/>
          <w:szCs w:val="28"/>
          <w:highlight w:val="none"/>
          <w:lang w:val="en-US" w:eastAsia="en-US" w:bidi="ar-SA"/>
        </w:rPr>
        <w:t>-</w:t>
      </w:r>
      <w:r>
        <w:rPr>
          <w:rFonts w:hint="eastAsia" w:ascii="宋体" w:hAnsi="宋体" w:eastAsia="宋体" w:cs="宋体"/>
          <w:snapToGrid w:val="0"/>
          <w:color w:val="auto"/>
          <w:spacing w:val="-3"/>
          <w:kern w:val="0"/>
          <w:position w:val="17"/>
          <w:sz w:val="28"/>
          <w:szCs w:val="28"/>
          <w:highlight w:val="none"/>
          <w:lang w:val="en-US" w:eastAsia="zh-CN" w:bidi="ar-SA"/>
        </w:rPr>
        <w:t>197-2022</w:t>
      </w:r>
      <w:r>
        <w:rPr>
          <w:rFonts w:hint="eastAsia" w:ascii="宋体" w:hAnsi="宋体" w:eastAsia="宋体" w:cs="宋体"/>
          <w:snapToGrid w:val="0"/>
          <w:color w:val="auto"/>
          <w:spacing w:val="-3"/>
          <w:kern w:val="0"/>
          <w:position w:val="17"/>
          <w:sz w:val="28"/>
          <w:szCs w:val="28"/>
          <w:highlight w:val="none"/>
          <w:lang w:val="en-US" w:eastAsia="en-US" w:bidi="ar-SA"/>
        </w:rPr>
        <w:t>)）、《</w:t>
      </w:r>
      <w:r>
        <w:rPr>
          <w:rFonts w:hint="eastAsia" w:ascii="宋体" w:hAnsi="宋体" w:eastAsia="宋体" w:cs="宋体"/>
          <w:snapToGrid w:val="0"/>
          <w:color w:val="auto"/>
          <w:spacing w:val="-3"/>
          <w:kern w:val="0"/>
          <w:position w:val="17"/>
          <w:sz w:val="28"/>
          <w:szCs w:val="28"/>
          <w:highlight w:val="none"/>
          <w:lang w:val="en-US" w:eastAsia="zh-CN" w:bidi="ar-SA"/>
        </w:rPr>
        <w:t>福建省</w:t>
      </w:r>
      <w:r>
        <w:rPr>
          <w:rFonts w:hint="eastAsia" w:ascii="宋体" w:hAnsi="宋体" w:eastAsia="宋体" w:cs="宋体"/>
          <w:snapToGrid w:val="0"/>
          <w:color w:val="auto"/>
          <w:spacing w:val="-3"/>
          <w:kern w:val="0"/>
          <w:position w:val="17"/>
          <w:sz w:val="28"/>
          <w:szCs w:val="28"/>
          <w:highlight w:val="none"/>
          <w:lang w:val="en-US" w:eastAsia="en-US" w:bidi="ar-SA"/>
        </w:rPr>
        <w:t>绿色建筑评价标准》（</w:t>
      </w:r>
      <w:r>
        <w:rPr>
          <w:rFonts w:hint="eastAsia" w:ascii="宋体" w:hAnsi="宋体" w:eastAsia="宋体" w:cs="宋体"/>
          <w:snapToGrid w:val="0"/>
          <w:color w:val="auto"/>
          <w:spacing w:val="-3"/>
          <w:kern w:val="0"/>
          <w:position w:val="17"/>
          <w:sz w:val="28"/>
          <w:szCs w:val="28"/>
          <w:highlight w:val="none"/>
          <w:lang w:val="en-US" w:eastAsia="zh-CN" w:bidi="ar-SA"/>
        </w:rPr>
        <w:t>DBJ</w:t>
      </w:r>
      <w:r>
        <w:rPr>
          <w:rFonts w:hint="eastAsia" w:ascii="宋体" w:hAnsi="宋体" w:eastAsia="宋体" w:cs="宋体"/>
          <w:snapToGrid w:val="0"/>
          <w:color w:val="auto"/>
          <w:spacing w:val="-3"/>
          <w:kern w:val="0"/>
          <w:position w:val="17"/>
          <w:sz w:val="28"/>
          <w:szCs w:val="28"/>
          <w:highlight w:val="none"/>
          <w:lang w:val="en-US" w:eastAsia="en-US" w:bidi="ar-SA"/>
        </w:rPr>
        <w:t>/T</w:t>
      </w:r>
      <w:r>
        <w:rPr>
          <w:rFonts w:hint="eastAsia" w:ascii="宋体" w:hAnsi="宋体" w:eastAsia="宋体" w:cs="宋体"/>
          <w:snapToGrid w:val="0"/>
          <w:color w:val="auto"/>
          <w:spacing w:val="-3"/>
          <w:kern w:val="0"/>
          <w:position w:val="17"/>
          <w:sz w:val="28"/>
          <w:szCs w:val="28"/>
          <w:highlight w:val="none"/>
          <w:lang w:val="en-US" w:eastAsia="zh-CN" w:bidi="ar-SA"/>
        </w:rPr>
        <w:t>13-118</w:t>
      </w:r>
      <w:r>
        <w:rPr>
          <w:rFonts w:hint="eastAsia" w:ascii="宋体" w:hAnsi="宋体" w:eastAsia="宋体" w:cs="宋体"/>
          <w:snapToGrid w:val="0"/>
          <w:color w:val="auto"/>
          <w:spacing w:val="-3"/>
          <w:kern w:val="0"/>
          <w:position w:val="17"/>
          <w:sz w:val="28"/>
          <w:szCs w:val="28"/>
          <w:highlight w:val="none"/>
          <w:lang w:val="en-US" w:eastAsia="en-US" w:bidi="ar-SA"/>
        </w:rPr>
        <w:t>-2</w:t>
      </w:r>
      <w:r>
        <w:rPr>
          <w:rFonts w:hint="eastAsia" w:ascii="宋体" w:hAnsi="宋体" w:eastAsia="宋体" w:cs="宋体"/>
          <w:snapToGrid w:val="0"/>
          <w:color w:val="auto"/>
          <w:spacing w:val="-3"/>
          <w:kern w:val="0"/>
          <w:position w:val="17"/>
          <w:sz w:val="28"/>
          <w:szCs w:val="28"/>
          <w:highlight w:val="none"/>
          <w:lang w:val="en-US" w:eastAsia="zh-CN" w:bidi="ar-SA"/>
        </w:rPr>
        <w:t>021</w:t>
      </w:r>
      <w:r>
        <w:rPr>
          <w:rFonts w:hint="eastAsia" w:ascii="宋体" w:hAnsi="宋体" w:eastAsia="宋体" w:cs="宋体"/>
          <w:snapToGrid w:val="0"/>
          <w:color w:val="auto"/>
          <w:spacing w:val="-3"/>
          <w:kern w:val="0"/>
          <w:position w:val="17"/>
          <w:sz w:val="28"/>
          <w:szCs w:val="28"/>
          <w:highlight w:val="none"/>
          <w:lang w:val="en-US" w:eastAsia="en-US" w:bidi="ar-SA"/>
        </w:rPr>
        <w:t>）等国家及地方相关规范，编写绿色</w:t>
      </w:r>
      <w:r>
        <w:rPr>
          <w:rFonts w:hint="eastAsia" w:ascii="宋体" w:hAnsi="宋体" w:eastAsia="宋体" w:cs="宋体"/>
          <w:snapToGrid w:val="0"/>
          <w:color w:val="auto"/>
          <w:spacing w:val="-3"/>
          <w:kern w:val="0"/>
          <w:position w:val="17"/>
          <w:sz w:val="28"/>
          <w:szCs w:val="28"/>
          <w:highlight w:val="none"/>
          <w:lang w:val="en-US" w:eastAsia="zh-CN" w:bidi="ar-SA"/>
        </w:rPr>
        <w:t>建筑设计</w:t>
      </w:r>
      <w:r>
        <w:rPr>
          <w:rFonts w:hint="eastAsia" w:ascii="宋体" w:hAnsi="宋体" w:eastAsia="宋体" w:cs="宋体"/>
          <w:snapToGrid w:val="0"/>
          <w:color w:val="auto"/>
          <w:spacing w:val="-3"/>
          <w:kern w:val="0"/>
          <w:position w:val="17"/>
          <w:sz w:val="28"/>
          <w:szCs w:val="28"/>
          <w:highlight w:val="none"/>
          <w:lang w:val="en-US" w:eastAsia="en-US" w:bidi="ar-SA"/>
        </w:rPr>
        <w:t>专篇，</w:t>
      </w:r>
      <w:r>
        <w:rPr>
          <w:rFonts w:hint="eastAsia" w:ascii="宋体" w:hAnsi="宋体" w:eastAsia="宋体" w:cs="宋体"/>
          <w:snapToGrid w:val="0"/>
          <w:color w:val="auto"/>
          <w:spacing w:val="-3"/>
          <w:kern w:val="0"/>
          <w:position w:val="17"/>
          <w:sz w:val="28"/>
          <w:szCs w:val="28"/>
          <w:highlight w:val="none"/>
          <w:lang w:val="en-US" w:eastAsia="zh-CN" w:bidi="ar-SA"/>
        </w:rPr>
        <w:t>专篇</w:t>
      </w:r>
      <w:r>
        <w:rPr>
          <w:rFonts w:hint="eastAsia" w:ascii="宋体" w:hAnsi="宋体" w:eastAsia="宋体" w:cs="宋体"/>
          <w:snapToGrid w:val="0"/>
          <w:color w:val="auto"/>
          <w:spacing w:val="-3"/>
          <w:kern w:val="0"/>
          <w:position w:val="17"/>
          <w:sz w:val="28"/>
          <w:szCs w:val="28"/>
          <w:highlight w:val="none"/>
          <w:lang w:val="en-US" w:eastAsia="en-US" w:bidi="ar-SA"/>
        </w:rPr>
        <w:t>包括但不限于以下内容：</w:t>
      </w: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firstLine="550" w:firstLineChars="200"/>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1</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项目概况、编制依据，相关规划与建设条件</w:t>
      </w:r>
      <w:r>
        <w:rPr>
          <w:rFonts w:hint="eastAsia" w:ascii="宋体" w:hAnsi="宋体" w:eastAsia="宋体" w:cs="宋体"/>
          <w:snapToGrid w:val="0"/>
          <w:color w:val="auto"/>
          <w:spacing w:val="-3"/>
          <w:kern w:val="0"/>
          <w:position w:val="17"/>
          <w:sz w:val="28"/>
          <w:szCs w:val="28"/>
          <w:highlight w:val="none"/>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firstLine="550" w:firstLineChars="200"/>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2</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绿色建筑星级目标及绿色建材应用基本要求、相关专业建设要求</w:t>
      </w:r>
      <w:r>
        <w:rPr>
          <w:rFonts w:hint="eastAsia" w:ascii="宋体" w:hAnsi="宋体" w:eastAsia="宋体" w:cs="宋体"/>
          <w:snapToGrid w:val="0"/>
          <w:color w:val="auto"/>
          <w:spacing w:val="-3"/>
          <w:kern w:val="0"/>
          <w:position w:val="17"/>
          <w:sz w:val="28"/>
          <w:szCs w:val="28"/>
          <w:highlight w:val="none"/>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firstLine="550" w:firstLineChars="200"/>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3</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项目装配式建造及全装修要求；需明确装配率和主要措施。</w:t>
      </w: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6</w:t>
      </w: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 xml:space="preserve">.1.2 </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可研编制单位根据《</w:t>
      </w:r>
      <w:r>
        <w:rPr>
          <w:rFonts w:hint="eastAsia" w:ascii="宋体" w:hAnsi="宋体" w:eastAsia="宋体" w:cs="宋体"/>
          <w:snapToGrid w:val="0"/>
          <w:color w:val="auto"/>
          <w:spacing w:val="-3"/>
          <w:kern w:val="0"/>
          <w:position w:val="17"/>
          <w:sz w:val="28"/>
          <w:szCs w:val="28"/>
          <w:highlight w:val="none"/>
          <w:lang w:val="en-US" w:eastAsia="zh-CN" w:bidi="ar-SA"/>
        </w:rPr>
        <w:t>基本要求</w:t>
      </w:r>
      <w:r>
        <w:rPr>
          <w:rFonts w:hint="eastAsia" w:ascii="宋体" w:hAnsi="宋体" w:eastAsia="宋体" w:cs="宋体"/>
          <w:snapToGrid w:val="0"/>
          <w:color w:val="auto"/>
          <w:spacing w:val="-3"/>
          <w:kern w:val="0"/>
          <w:position w:val="17"/>
          <w:sz w:val="28"/>
          <w:szCs w:val="28"/>
          <w:highlight w:val="none"/>
          <w:lang w:val="en-US" w:eastAsia="en-US" w:bidi="ar-SA"/>
        </w:rPr>
        <w:t>》</w:t>
      </w:r>
      <w:r>
        <w:rPr>
          <w:rFonts w:hint="eastAsia" w:ascii="宋体" w:hAnsi="宋体" w:eastAsia="宋体" w:cs="宋体"/>
          <w:snapToGrid w:val="0"/>
          <w:color w:val="auto"/>
          <w:spacing w:val="-3"/>
          <w:kern w:val="0"/>
          <w:position w:val="17"/>
          <w:sz w:val="28"/>
          <w:szCs w:val="28"/>
          <w:highlight w:val="none"/>
          <w:lang w:val="en-US" w:eastAsia="zh-CN" w:bidi="ar-SA"/>
        </w:rPr>
        <w:t>的材料类型</w:t>
      </w:r>
      <w:r>
        <w:rPr>
          <w:rFonts w:hint="eastAsia" w:ascii="宋体" w:hAnsi="宋体" w:eastAsia="宋体" w:cs="宋体"/>
          <w:snapToGrid w:val="0"/>
          <w:color w:val="auto"/>
          <w:spacing w:val="-3"/>
          <w:kern w:val="0"/>
          <w:position w:val="17"/>
          <w:sz w:val="28"/>
          <w:szCs w:val="28"/>
          <w:highlight w:val="none"/>
          <w:lang w:val="en-US" w:eastAsia="en-US" w:bidi="ar-SA"/>
        </w:rPr>
        <w:t>，反映在相应的投资估算、项目招标等相关章节中。</w:t>
      </w: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6</w:t>
      </w: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.1.3</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应用项目</w:t>
      </w:r>
      <w:r>
        <w:rPr>
          <w:rFonts w:hint="eastAsia" w:ascii="宋体" w:hAnsi="宋体" w:eastAsia="宋体" w:cs="宋体"/>
          <w:snapToGrid w:val="0"/>
          <w:color w:val="auto"/>
          <w:spacing w:val="-3"/>
          <w:kern w:val="0"/>
          <w:position w:val="17"/>
          <w:sz w:val="28"/>
          <w:szCs w:val="28"/>
          <w:highlight w:val="none"/>
          <w:lang w:val="en-US" w:eastAsia="en-US" w:bidi="ar-SA"/>
        </w:rPr>
        <w:t>的投资估算编制，需充分考虑绿色建筑和绿色建材的相关增量成本</w:t>
      </w:r>
      <w:r>
        <w:rPr>
          <w:rFonts w:hint="eastAsia" w:ascii="宋体" w:hAnsi="宋体" w:eastAsia="宋体" w:cs="宋体"/>
          <w:snapToGrid w:val="0"/>
          <w:color w:val="auto"/>
          <w:spacing w:val="-3"/>
          <w:kern w:val="0"/>
          <w:position w:val="17"/>
          <w:sz w:val="28"/>
          <w:szCs w:val="28"/>
          <w:highlight w:val="none"/>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6</w:t>
      </w: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.1.4</w:t>
      </w:r>
      <w:r>
        <w:rPr>
          <w:rFonts w:hint="eastAsia" w:ascii="宋体" w:hAnsi="宋体" w:eastAsia="宋体" w:cs="宋体"/>
          <w:b/>
          <w:bCs/>
          <w:snapToGrid w:val="0"/>
          <w:color w:val="auto"/>
          <w:spacing w:val="-3"/>
          <w:kern w:val="0"/>
          <w:position w:val="17"/>
          <w:sz w:val="28"/>
          <w:szCs w:val="28"/>
          <w:highlight w:val="none"/>
          <w:lang w:val="en-US" w:eastAsia="en-US" w:bidi="ar-SA"/>
        </w:rPr>
        <w:t xml:space="preserve"> </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市、区（</w:t>
      </w:r>
      <w:r>
        <w:rPr>
          <w:rFonts w:hint="eastAsia" w:ascii="宋体" w:hAnsi="宋体" w:eastAsia="宋体" w:cs="宋体"/>
          <w:snapToGrid w:val="0"/>
          <w:color w:val="auto"/>
          <w:spacing w:val="-3"/>
          <w:kern w:val="0"/>
          <w:position w:val="17"/>
          <w:sz w:val="28"/>
          <w:szCs w:val="28"/>
          <w:highlight w:val="none"/>
          <w:lang w:val="en-US" w:eastAsia="zh-CN" w:bidi="ar-SA"/>
        </w:rPr>
        <w:t>县</w:t>
      </w:r>
      <w:r>
        <w:rPr>
          <w:rFonts w:hint="eastAsia" w:ascii="宋体" w:hAnsi="宋体" w:eastAsia="宋体" w:cs="宋体"/>
          <w:snapToGrid w:val="0"/>
          <w:color w:val="auto"/>
          <w:spacing w:val="-3"/>
          <w:kern w:val="0"/>
          <w:position w:val="17"/>
          <w:sz w:val="28"/>
          <w:szCs w:val="28"/>
          <w:highlight w:val="none"/>
          <w:lang w:val="en-US" w:eastAsia="en-US" w:bidi="ar-SA"/>
        </w:rPr>
        <w:t>市）投资主管部门根据相应流程对可研报告进行评审时，应邀请至少一名绿色建筑相关专家，针对可行性研究报告中绿色建筑章节进行评审，</w:t>
      </w:r>
      <w:r>
        <w:rPr>
          <w:rFonts w:hint="eastAsia" w:ascii="宋体" w:hAnsi="宋体" w:eastAsia="宋体" w:cs="宋体"/>
          <w:snapToGrid w:val="0"/>
          <w:color w:val="auto"/>
          <w:spacing w:val="-3"/>
          <w:kern w:val="0"/>
          <w:position w:val="17"/>
          <w:sz w:val="28"/>
          <w:szCs w:val="28"/>
          <w:highlight w:val="none"/>
          <w:lang w:val="en-US" w:eastAsia="zh-CN" w:bidi="ar-SA"/>
        </w:rPr>
        <w:t>复核绿色建材应用比例要求，</w:t>
      </w:r>
      <w:r>
        <w:rPr>
          <w:rFonts w:hint="eastAsia" w:ascii="宋体" w:hAnsi="宋体" w:eastAsia="宋体" w:cs="宋体"/>
          <w:snapToGrid w:val="0"/>
          <w:color w:val="auto"/>
          <w:spacing w:val="-3"/>
          <w:kern w:val="0"/>
          <w:position w:val="17"/>
          <w:sz w:val="28"/>
          <w:szCs w:val="28"/>
          <w:highlight w:val="none"/>
          <w:lang w:val="en-US" w:eastAsia="en-US" w:bidi="ar-SA"/>
        </w:rPr>
        <w:t>并在评审结论中予以体现。</w:t>
      </w: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6</w:t>
      </w: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 xml:space="preserve">.1.5 </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市、区（县市）投资主管部门在</w:t>
      </w:r>
      <w:r>
        <w:rPr>
          <w:rFonts w:hint="eastAsia" w:ascii="宋体" w:hAnsi="宋体" w:eastAsia="宋体" w:cs="宋体"/>
          <w:snapToGrid w:val="0"/>
          <w:color w:val="auto"/>
          <w:spacing w:val="-3"/>
          <w:kern w:val="0"/>
          <w:position w:val="17"/>
          <w:sz w:val="28"/>
          <w:szCs w:val="28"/>
          <w:highlight w:val="none"/>
          <w:lang w:val="en-US" w:eastAsia="zh-CN" w:bidi="ar-SA"/>
        </w:rPr>
        <w:t>应用项目</w:t>
      </w:r>
      <w:r>
        <w:rPr>
          <w:rFonts w:hint="eastAsia" w:ascii="宋体" w:hAnsi="宋体" w:eastAsia="宋体" w:cs="宋体"/>
          <w:snapToGrid w:val="0"/>
          <w:color w:val="auto"/>
          <w:spacing w:val="-3"/>
          <w:kern w:val="0"/>
          <w:position w:val="17"/>
          <w:sz w:val="28"/>
          <w:szCs w:val="28"/>
          <w:highlight w:val="none"/>
          <w:lang w:val="en-US" w:eastAsia="en-US" w:bidi="ar-SA"/>
        </w:rPr>
        <w:t>的可研批复中</w:t>
      </w:r>
      <w:r>
        <w:rPr>
          <w:rFonts w:hint="eastAsia" w:ascii="宋体" w:hAnsi="宋体" w:eastAsia="宋体" w:cs="宋体"/>
          <w:snapToGrid w:val="0"/>
          <w:color w:val="auto"/>
          <w:spacing w:val="-3"/>
          <w:kern w:val="0"/>
          <w:position w:val="17"/>
          <w:sz w:val="28"/>
          <w:szCs w:val="28"/>
          <w:highlight w:val="none"/>
          <w:lang w:val="en-US" w:eastAsia="zh-CN" w:bidi="ar-SA"/>
        </w:rPr>
        <w:t>，</w:t>
      </w:r>
      <w:r>
        <w:rPr>
          <w:rFonts w:hint="eastAsia" w:ascii="宋体" w:hAnsi="宋体" w:eastAsia="宋体" w:cs="宋体"/>
          <w:snapToGrid w:val="0"/>
          <w:color w:val="auto"/>
          <w:spacing w:val="-3"/>
          <w:kern w:val="0"/>
          <w:position w:val="17"/>
          <w:sz w:val="28"/>
          <w:szCs w:val="28"/>
          <w:highlight w:val="none"/>
          <w:lang w:val="en-US" w:eastAsia="en-US" w:bidi="ar-SA"/>
        </w:rPr>
        <w:t>应载明该项目为“</w:t>
      </w:r>
      <w:r>
        <w:rPr>
          <w:rFonts w:hint="eastAsia" w:ascii="宋体" w:hAnsi="宋体" w:eastAsia="宋体" w:cs="宋体"/>
          <w:snapToGrid w:val="0"/>
          <w:color w:val="auto"/>
          <w:spacing w:val="-3"/>
          <w:kern w:val="0"/>
          <w:position w:val="17"/>
          <w:sz w:val="28"/>
          <w:szCs w:val="28"/>
          <w:highlight w:val="none"/>
          <w:lang w:val="en-US" w:eastAsia="zh-CN" w:bidi="ar-SA"/>
        </w:rPr>
        <w:t>福州</w:t>
      </w:r>
      <w:r>
        <w:rPr>
          <w:rFonts w:hint="eastAsia" w:ascii="宋体" w:hAnsi="宋体" w:eastAsia="宋体" w:cs="宋体"/>
          <w:snapToGrid w:val="0"/>
          <w:color w:val="auto"/>
          <w:spacing w:val="-3"/>
          <w:kern w:val="0"/>
          <w:position w:val="17"/>
          <w:sz w:val="28"/>
          <w:szCs w:val="28"/>
          <w:highlight w:val="none"/>
          <w:lang w:val="en-US" w:eastAsia="en-US" w:bidi="ar-SA"/>
        </w:rPr>
        <w:t>市绿色建材</w:t>
      </w:r>
      <w:r>
        <w:rPr>
          <w:rFonts w:hint="eastAsia" w:ascii="宋体" w:hAnsi="宋体" w:eastAsia="宋体" w:cs="宋体"/>
          <w:snapToGrid w:val="0"/>
          <w:color w:val="auto"/>
          <w:spacing w:val="-3"/>
          <w:kern w:val="0"/>
          <w:position w:val="17"/>
          <w:sz w:val="28"/>
          <w:szCs w:val="28"/>
          <w:highlight w:val="none"/>
          <w:lang w:val="en-US" w:eastAsia="zh-CN" w:bidi="ar-SA"/>
        </w:rPr>
        <w:t>应用项目</w:t>
      </w:r>
      <w:r>
        <w:rPr>
          <w:rFonts w:hint="eastAsia" w:ascii="宋体" w:hAnsi="宋体" w:eastAsia="宋体" w:cs="宋体"/>
          <w:snapToGrid w:val="0"/>
          <w:color w:val="auto"/>
          <w:spacing w:val="-3"/>
          <w:kern w:val="0"/>
          <w:position w:val="17"/>
          <w:sz w:val="28"/>
          <w:szCs w:val="28"/>
          <w:highlight w:val="non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6.1.6</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在可研批复完成后才选定为应用项目的，该资料可容缺。</w:t>
      </w: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p>
    <w:p>
      <w:pPr>
        <w:keepNext w:val="0"/>
        <w:keepLines w:val="0"/>
        <w:pageBreakBefore w:val="0"/>
        <w:widowControl/>
        <w:kinsoku/>
        <w:wordWrap/>
        <w:overflowPunct/>
        <w:topLinePunct w:val="0"/>
        <w:autoSpaceDE w:val="0"/>
        <w:autoSpaceDN w:val="0"/>
        <w:bidi w:val="0"/>
        <w:adjustRightInd w:val="0"/>
        <w:snapToGrid w:val="0"/>
        <w:spacing w:before="91" w:line="360" w:lineRule="auto"/>
        <w:jc w:val="both"/>
        <w:textAlignment w:val="baseline"/>
        <w:outlineLvl w:val="1"/>
        <w:rPr>
          <w:rFonts w:hint="eastAsia" w:ascii="宋体" w:hAnsi="宋体" w:eastAsia="宋体" w:cs="宋体"/>
          <w:b/>
          <w:bCs/>
          <w:color w:val="auto"/>
          <w:spacing w:val="-2"/>
          <w:sz w:val="28"/>
          <w:szCs w:val="28"/>
          <w:highlight w:val="none"/>
        </w:rPr>
      </w:pPr>
      <w:bookmarkStart w:id="19" w:name="_Toc23762"/>
      <w:r>
        <w:rPr>
          <w:rFonts w:hint="default" w:ascii="Times New Roman" w:hAnsi="Times New Roman" w:eastAsia="宋体" w:cs="Times New Roman"/>
          <w:b/>
          <w:bCs/>
          <w:color w:val="auto"/>
          <w:spacing w:val="-2"/>
          <w:sz w:val="28"/>
          <w:szCs w:val="28"/>
          <w:highlight w:val="none"/>
          <w:lang w:val="en-US" w:eastAsia="zh-CN"/>
        </w:rPr>
        <w:t>6</w:t>
      </w:r>
      <w:r>
        <w:rPr>
          <w:rFonts w:hint="default" w:ascii="Times New Roman" w:hAnsi="Times New Roman" w:eastAsia="宋体" w:cs="Times New Roman"/>
          <w:b/>
          <w:bCs/>
          <w:color w:val="auto"/>
          <w:spacing w:val="-2"/>
          <w:sz w:val="28"/>
          <w:szCs w:val="28"/>
          <w:highlight w:val="none"/>
        </w:rPr>
        <w:t>.2</w:t>
      </w:r>
      <w:r>
        <w:rPr>
          <w:rFonts w:hint="eastAsia" w:ascii="宋体" w:hAnsi="宋体" w:eastAsia="宋体" w:cs="宋体"/>
          <w:b/>
          <w:bCs/>
          <w:color w:val="auto"/>
          <w:spacing w:val="-2"/>
          <w:sz w:val="28"/>
          <w:szCs w:val="28"/>
          <w:highlight w:val="none"/>
        </w:rPr>
        <w:t xml:space="preserve"> </w:t>
      </w:r>
      <w:r>
        <w:rPr>
          <w:rFonts w:hint="eastAsia" w:ascii="宋体" w:hAnsi="宋体" w:eastAsia="宋体" w:cs="宋体"/>
          <w:b/>
          <w:bCs/>
          <w:color w:val="auto"/>
          <w:spacing w:val="-2"/>
          <w:sz w:val="28"/>
          <w:szCs w:val="28"/>
          <w:highlight w:val="none"/>
          <w:lang w:val="en-US" w:eastAsia="zh-CN"/>
        </w:rPr>
        <w:t xml:space="preserve">  </w:t>
      </w:r>
      <w:r>
        <w:rPr>
          <w:rFonts w:hint="eastAsia" w:ascii="宋体" w:hAnsi="宋体" w:eastAsia="宋体" w:cs="宋体"/>
          <w:b/>
          <w:bCs/>
          <w:color w:val="auto"/>
          <w:spacing w:val="-2"/>
          <w:sz w:val="28"/>
          <w:szCs w:val="28"/>
          <w:highlight w:val="none"/>
        </w:rPr>
        <w:t>项目</w:t>
      </w:r>
      <w:r>
        <w:rPr>
          <w:rFonts w:hint="eastAsia" w:ascii="宋体" w:hAnsi="宋体" w:eastAsia="宋体" w:cs="宋体"/>
          <w:b/>
          <w:bCs/>
          <w:color w:val="auto"/>
          <w:spacing w:val="-2"/>
          <w:sz w:val="28"/>
          <w:szCs w:val="28"/>
          <w:highlight w:val="none"/>
          <w:lang w:eastAsia="zh-CN"/>
        </w:rPr>
        <w:t>设计</w:t>
      </w:r>
      <w:r>
        <w:rPr>
          <w:rFonts w:hint="eastAsia" w:ascii="宋体" w:hAnsi="宋体" w:eastAsia="宋体" w:cs="宋体"/>
          <w:b/>
          <w:bCs/>
          <w:color w:val="auto"/>
          <w:spacing w:val="-2"/>
          <w:sz w:val="28"/>
          <w:szCs w:val="28"/>
          <w:highlight w:val="none"/>
        </w:rPr>
        <w:t>专项资料</w:t>
      </w:r>
      <w:bookmarkEnd w:id="19"/>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6</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 xml:space="preserve">.2.1 </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绿色建材</w:t>
      </w:r>
      <w:r>
        <w:rPr>
          <w:rFonts w:hint="eastAsia" w:ascii="宋体" w:hAnsi="宋体" w:eastAsia="宋体" w:cs="宋体"/>
          <w:snapToGrid w:val="0"/>
          <w:color w:val="auto"/>
          <w:spacing w:val="-3"/>
          <w:kern w:val="0"/>
          <w:position w:val="17"/>
          <w:sz w:val="28"/>
          <w:szCs w:val="28"/>
          <w:highlight w:val="none"/>
          <w:lang w:val="en-US" w:eastAsia="zh-CN" w:bidi="ar-SA"/>
        </w:rPr>
        <w:t>应用项目检查与评价</w:t>
      </w:r>
      <w:r>
        <w:rPr>
          <w:rFonts w:hint="eastAsia" w:ascii="宋体" w:hAnsi="宋体" w:eastAsia="宋体" w:cs="宋体"/>
          <w:snapToGrid w:val="0"/>
          <w:color w:val="auto"/>
          <w:spacing w:val="-3"/>
          <w:kern w:val="0"/>
          <w:position w:val="17"/>
          <w:sz w:val="28"/>
          <w:szCs w:val="28"/>
          <w:highlight w:val="none"/>
          <w:lang w:val="en-US" w:eastAsia="en-US" w:bidi="ar-SA"/>
        </w:rPr>
        <w:t>应对建设项目的设计、采购、招标投标、施工等资料收集及分析，文件及相关资料应作为</w:t>
      </w:r>
      <w:r>
        <w:rPr>
          <w:rFonts w:hint="eastAsia" w:ascii="宋体" w:hAnsi="宋体" w:eastAsia="宋体" w:cs="宋体"/>
          <w:snapToGrid w:val="0"/>
          <w:color w:val="auto"/>
          <w:spacing w:val="-3"/>
          <w:kern w:val="0"/>
          <w:position w:val="17"/>
          <w:sz w:val="28"/>
          <w:szCs w:val="28"/>
          <w:highlight w:val="none"/>
          <w:lang w:val="en-US" w:eastAsia="zh-CN" w:bidi="ar-SA"/>
        </w:rPr>
        <w:t>评价</w:t>
      </w:r>
      <w:r>
        <w:rPr>
          <w:rFonts w:hint="eastAsia" w:ascii="宋体" w:hAnsi="宋体" w:eastAsia="宋体" w:cs="宋体"/>
          <w:snapToGrid w:val="0"/>
          <w:color w:val="auto"/>
          <w:spacing w:val="-3"/>
          <w:kern w:val="0"/>
          <w:position w:val="17"/>
          <w:sz w:val="28"/>
          <w:szCs w:val="28"/>
          <w:highlight w:val="none"/>
          <w:lang w:val="en-US" w:eastAsia="en-US" w:bidi="ar-SA"/>
        </w:rPr>
        <w:t>文件的重要依据，必须提交完整、准确、有效。</w:t>
      </w: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6</w:t>
      </w: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 xml:space="preserve">.2.2 </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绿色建材</w:t>
      </w:r>
      <w:r>
        <w:rPr>
          <w:rFonts w:hint="eastAsia" w:ascii="宋体" w:hAnsi="宋体" w:eastAsia="宋体" w:cs="宋体"/>
          <w:snapToGrid w:val="0"/>
          <w:color w:val="auto"/>
          <w:spacing w:val="-3"/>
          <w:kern w:val="0"/>
          <w:position w:val="17"/>
          <w:sz w:val="28"/>
          <w:szCs w:val="28"/>
          <w:highlight w:val="none"/>
          <w:lang w:val="en-US" w:eastAsia="zh-CN" w:bidi="ar-SA"/>
        </w:rPr>
        <w:t>应用项目建筑设计方案报审</w:t>
      </w:r>
      <w:r>
        <w:rPr>
          <w:rFonts w:hint="eastAsia" w:ascii="宋体" w:hAnsi="宋体" w:eastAsia="宋体" w:cs="宋体"/>
          <w:snapToGrid w:val="0"/>
          <w:color w:val="auto"/>
          <w:spacing w:val="-3"/>
          <w:kern w:val="0"/>
          <w:position w:val="17"/>
          <w:sz w:val="28"/>
          <w:szCs w:val="28"/>
          <w:highlight w:val="none"/>
          <w:lang w:val="en-US" w:eastAsia="en-US" w:bidi="ar-SA"/>
        </w:rPr>
        <w:t>设计说明</w:t>
      </w:r>
      <w:r>
        <w:rPr>
          <w:rFonts w:hint="eastAsia" w:ascii="宋体" w:hAnsi="宋体" w:eastAsia="宋体" w:cs="宋体"/>
          <w:snapToGrid w:val="0"/>
          <w:color w:val="auto"/>
          <w:spacing w:val="-3"/>
          <w:kern w:val="0"/>
          <w:position w:val="17"/>
          <w:sz w:val="28"/>
          <w:szCs w:val="28"/>
          <w:highlight w:val="none"/>
          <w:lang w:val="en-US" w:eastAsia="zh-CN" w:bidi="ar-SA"/>
        </w:rPr>
        <w:t>及初步设计说明的绿色建筑专篇中</w:t>
      </w:r>
      <w:r>
        <w:rPr>
          <w:rFonts w:hint="eastAsia" w:ascii="宋体" w:hAnsi="宋体" w:eastAsia="宋体" w:cs="宋体"/>
          <w:snapToGrid w:val="0"/>
          <w:color w:val="auto"/>
          <w:spacing w:val="-3"/>
          <w:kern w:val="0"/>
          <w:position w:val="17"/>
          <w:sz w:val="28"/>
          <w:szCs w:val="28"/>
          <w:highlight w:val="none"/>
          <w:lang w:val="en-US" w:eastAsia="en-US" w:bidi="ar-SA"/>
        </w:rPr>
        <w:t>应包含“绿色建材</w:t>
      </w:r>
      <w:r>
        <w:rPr>
          <w:rFonts w:hint="eastAsia" w:ascii="宋体" w:hAnsi="宋体" w:eastAsia="宋体" w:cs="宋体"/>
          <w:snapToGrid w:val="0"/>
          <w:color w:val="auto"/>
          <w:spacing w:val="-3"/>
          <w:kern w:val="0"/>
          <w:position w:val="17"/>
          <w:sz w:val="28"/>
          <w:szCs w:val="28"/>
          <w:highlight w:val="none"/>
          <w:lang w:val="en-US" w:eastAsia="zh-CN" w:bidi="ar-SA"/>
        </w:rPr>
        <w:t>方案</w:t>
      </w:r>
      <w:r>
        <w:rPr>
          <w:rFonts w:hint="eastAsia" w:ascii="宋体" w:hAnsi="宋体" w:eastAsia="宋体" w:cs="宋体"/>
          <w:snapToGrid w:val="0"/>
          <w:color w:val="auto"/>
          <w:spacing w:val="-3"/>
          <w:kern w:val="0"/>
          <w:position w:val="17"/>
          <w:sz w:val="28"/>
          <w:szCs w:val="28"/>
          <w:highlight w:val="none"/>
          <w:lang w:val="en-US" w:eastAsia="en-US" w:bidi="ar-SA"/>
        </w:rPr>
        <w:t>设计</w:t>
      </w:r>
      <w:r>
        <w:rPr>
          <w:rFonts w:hint="eastAsia" w:ascii="宋体" w:hAnsi="宋体" w:eastAsia="宋体" w:cs="宋体"/>
          <w:snapToGrid w:val="0"/>
          <w:color w:val="auto"/>
          <w:spacing w:val="-3"/>
          <w:kern w:val="0"/>
          <w:position w:val="17"/>
          <w:sz w:val="28"/>
          <w:szCs w:val="28"/>
          <w:highlight w:val="none"/>
          <w:lang w:val="en-US" w:eastAsia="zh-CN" w:bidi="ar-SA"/>
        </w:rPr>
        <w:t>内容</w:t>
      </w:r>
      <w:r>
        <w:rPr>
          <w:rFonts w:hint="eastAsia" w:ascii="宋体" w:hAnsi="宋体" w:eastAsia="宋体" w:cs="宋体"/>
          <w:snapToGrid w:val="0"/>
          <w:color w:val="auto"/>
          <w:spacing w:val="-3"/>
          <w:kern w:val="0"/>
          <w:position w:val="17"/>
          <w:sz w:val="28"/>
          <w:szCs w:val="28"/>
          <w:highlight w:val="none"/>
          <w:lang w:val="en-US" w:eastAsia="en-US" w:bidi="ar-SA"/>
        </w:rPr>
        <w:t>”。设计专篇应包含以下内容：</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1</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规划与建设条件，绿色建筑星级等级要求，其中星级等级应按照相应区域的《</w:t>
      </w:r>
      <w:r>
        <w:rPr>
          <w:rFonts w:hint="eastAsia" w:ascii="宋体" w:hAnsi="宋体" w:eastAsia="宋体" w:cs="宋体"/>
          <w:snapToGrid w:val="0"/>
          <w:color w:val="auto"/>
          <w:spacing w:val="-3"/>
          <w:kern w:val="0"/>
          <w:position w:val="17"/>
          <w:sz w:val="28"/>
          <w:szCs w:val="28"/>
          <w:highlight w:val="none"/>
          <w:lang w:val="en-US" w:eastAsia="zh-CN" w:bidi="ar-SA"/>
        </w:rPr>
        <w:t>福建省</w:t>
      </w:r>
      <w:r>
        <w:rPr>
          <w:rFonts w:hint="eastAsia" w:ascii="宋体" w:hAnsi="宋体" w:eastAsia="宋体" w:cs="宋体"/>
          <w:snapToGrid w:val="0"/>
          <w:color w:val="auto"/>
          <w:spacing w:val="-3"/>
          <w:kern w:val="0"/>
          <w:position w:val="17"/>
          <w:sz w:val="28"/>
          <w:szCs w:val="28"/>
          <w:highlight w:val="none"/>
          <w:lang w:val="en-US" w:eastAsia="en-US" w:bidi="ar-SA"/>
        </w:rPr>
        <w:t>绿色建筑评价标准》（GB</w:t>
      </w:r>
      <w:r>
        <w:rPr>
          <w:rFonts w:hint="eastAsia" w:ascii="宋体" w:hAnsi="宋体" w:eastAsia="宋体" w:cs="宋体"/>
          <w:snapToGrid w:val="0"/>
          <w:color w:val="auto"/>
          <w:spacing w:val="-3"/>
          <w:kern w:val="0"/>
          <w:position w:val="17"/>
          <w:sz w:val="28"/>
          <w:szCs w:val="28"/>
          <w:highlight w:val="none"/>
          <w:lang w:val="en-US" w:eastAsia="zh-CN" w:bidi="ar-SA"/>
        </w:rPr>
        <w:t>J/T13-118-2021</w:t>
      </w:r>
      <w:r>
        <w:rPr>
          <w:rFonts w:hint="eastAsia" w:ascii="宋体" w:hAnsi="宋体" w:eastAsia="宋体" w:cs="宋体"/>
          <w:snapToGrid w:val="0"/>
          <w:color w:val="auto"/>
          <w:spacing w:val="-3"/>
          <w:kern w:val="0"/>
          <w:position w:val="17"/>
          <w:sz w:val="28"/>
          <w:szCs w:val="28"/>
          <w:highlight w:val="none"/>
          <w:lang w:val="en-US" w:eastAsia="en-US" w:bidi="ar-SA"/>
        </w:rPr>
        <w:t>）要求分别明确</w:t>
      </w:r>
      <w:r>
        <w:rPr>
          <w:rFonts w:hint="eastAsia" w:ascii="宋体" w:hAnsi="宋体" w:eastAsia="宋体" w:cs="宋体"/>
          <w:snapToGrid w:val="0"/>
          <w:color w:val="auto"/>
          <w:spacing w:val="-3"/>
          <w:kern w:val="0"/>
          <w:position w:val="17"/>
          <w:sz w:val="28"/>
          <w:szCs w:val="28"/>
          <w:highlight w:val="none"/>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2      </w:t>
      </w:r>
      <w:r>
        <w:rPr>
          <w:rFonts w:hint="eastAsia" w:ascii="宋体" w:hAnsi="宋体" w:eastAsia="宋体" w:cs="宋体"/>
          <w:snapToGrid w:val="0"/>
          <w:color w:val="auto"/>
          <w:spacing w:val="-3"/>
          <w:kern w:val="0"/>
          <w:position w:val="17"/>
          <w:sz w:val="28"/>
          <w:szCs w:val="28"/>
          <w:highlight w:val="none"/>
          <w:lang w:val="en-US" w:eastAsia="zh-CN" w:bidi="ar-SA"/>
        </w:rPr>
        <w:t>明确该项目为绿色建材应用项目，需满足绿色建材应用比例不低于相应星级对应的比例的要求。</w:t>
      </w:r>
    </w:p>
    <w:p>
      <w:pPr>
        <w:keepNext w:val="0"/>
        <w:keepLines w:val="0"/>
        <w:pageBreakBefore w:val="0"/>
        <w:widowControl/>
        <w:kinsoku/>
        <w:wordWrap/>
        <w:overflowPunct/>
        <w:topLinePunct w:val="0"/>
        <w:autoSpaceDE w:val="0"/>
        <w:autoSpaceDN w:val="0"/>
        <w:bidi w:val="0"/>
        <w:adjustRightInd w:val="0"/>
        <w:snapToGrid w:val="0"/>
        <w:spacing w:before="78" w:line="360" w:lineRule="auto"/>
        <w:ind w:right="2" w:firstLine="550" w:firstLineChars="200"/>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3</w:t>
      </w:r>
      <w:r>
        <w:rPr>
          <w:rFonts w:hint="eastAsia" w:ascii="宋体" w:hAnsi="宋体" w:eastAsia="宋体" w:cs="宋体"/>
          <w:snapToGrid w:val="0"/>
          <w:color w:val="auto"/>
          <w:spacing w:val="-3"/>
          <w:kern w:val="0"/>
          <w:position w:val="17"/>
          <w:sz w:val="28"/>
          <w:szCs w:val="28"/>
          <w:highlight w:val="none"/>
          <w:lang w:val="en-US" w:eastAsia="zh-CN" w:bidi="ar-SA"/>
        </w:rPr>
        <w:t xml:space="preserve">   若应用项目在本导则发布前已完成方案报审，该资料可容缺。</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Times New Roman" w:hAnsi="Times New Roman" w:eastAsia="宋体" w:cs="Times New Roman"/>
          <w:b w:val="0"/>
          <w:bCs w:val="0"/>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6</w:t>
      </w: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 xml:space="preserve">.2.3 </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   </w:t>
      </w:r>
      <w:r>
        <w:rPr>
          <w:rFonts w:hint="eastAsia" w:ascii="Times New Roman" w:hAnsi="Times New Roman" w:eastAsia="宋体" w:cs="Times New Roman"/>
          <w:b w:val="0"/>
          <w:bCs w:val="0"/>
          <w:snapToGrid w:val="0"/>
          <w:color w:val="auto"/>
          <w:spacing w:val="-3"/>
          <w:kern w:val="0"/>
          <w:position w:val="17"/>
          <w:sz w:val="28"/>
          <w:szCs w:val="28"/>
          <w:highlight w:val="none"/>
          <w:lang w:val="en-US" w:eastAsia="en-US" w:bidi="ar-SA"/>
        </w:rPr>
        <w:t>施工图设计阶段，设计文件</w:t>
      </w:r>
      <w:r>
        <w:rPr>
          <w:rFonts w:hint="eastAsia" w:ascii="Times New Roman" w:hAnsi="Times New Roman" w:eastAsia="宋体" w:cs="Times New Roman"/>
          <w:b w:val="0"/>
          <w:bCs w:val="0"/>
          <w:snapToGrid w:val="0"/>
          <w:color w:val="auto"/>
          <w:spacing w:val="-3"/>
          <w:kern w:val="0"/>
          <w:position w:val="17"/>
          <w:sz w:val="28"/>
          <w:szCs w:val="28"/>
          <w:highlight w:val="none"/>
          <w:lang w:val="en-US" w:eastAsia="zh-CN" w:bidi="ar-SA"/>
        </w:rPr>
        <w:t>的《绿色建筑设计专篇》中应</w:t>
      </w:r>
      <w:r>
        <w:rPr>
          <w:rFonts w:hint="eastAsia" w:ascii="Times New Roman" w:hAnsi="Times New Roman" w:eastAsia="宋体" w:cs="Times New Roman"/>
          <w:b w:val="0"/>
          <w:bCs w:val="0"/>
          <w:snapToGrid w:val="0"/>
          <w:color w:val="auto"/>
          <w:spacing w:val="-3"/>
          <w:kern w:val="0"/>
          <w:position w:val="17"/>
          <w:sz w:val="28"/>
          <w:szCs w:val="28"/>
          <w:highlight w:val="none"/>
          <w:lang w:val="en-US" w:eastAsia="en-US" w:bidi="ar-SA"/>
        </w:rPr>
        <w:t>包含</w:t>
      </w:r>
      <w:r>
        <w:rPr>
          <w:rFonts w:hint="eastAsia" w:ascii="Times New Roman" w:hAnsi="Times New Roman" w:eastAsia="宋体" w:cs="Times New Roman"/>
          <w:b w:val="0"/>
          <w:bCs w:val="0"/>
          <w:snapToGrid w:val="0"/>
          <w:color w:val="auto"/>
          <w:spacing w:val="-3"/>
          <w:kern w:val="0"/>
          <w:position w:val="17"/>
          <w:sz w:val="28"/>
          <w:szCs w:val="28"/>
          <w:highlight w:val="none"/>
          <w:lang w:val="en-US" w:eastAsia="zh-CN" w:bidi="ar-SA"/>
        </w:rPr>
        <w:t>绿色建材应用要求及比例计算表、</w:t>
      </w:r>
      <w:r>
        <w:rPr>
          <w:rFonts w:hint="eastAsia" w:ascii="Times New Roman" w:hAnsi="Times New Roman" w:eastAsia="宋体" w:cs="Times New Roman"/>
          <w:b w:val="0"/>
          <w:bCs w:val="0"/>
          <w:snapToGrid w:val="0"/>
          <w:color w:val="auto"/>
          <w:spacing w:val="-3"/>
          <w:kern w:val="0"/>
          <w:position w:val="17"/>
          <w:sz w:val="28"/>
          <w:szCs w:val="28"/>
          <w:highlight w:val="none"/>
          <w:lang w:val="en-US" w:eastAsia="en-US" w:bidi="ar-SA"/>
        </w:rPr>
        <w:t>绿色建材主要设计内容、参数及具体构造和措施，并对前一阶段获取政府部门批复中的相关内容进行复核。</w:t>
      </w:r>
    </w:p>
    <w:p>
      <w:pPr>
        <w:keepNext w:val="0"/>
        <w:keepLines w:val="0"/>
        <w:pageBreakBefore w:val="0"/>
        <w:widowControl/>
        <w:kinsoku/>
        <w:wordWrap/>
        <w:overflowPunct/>
        <w:topLinePunct w:val="0"/>
        <w:autoSpaceDE w:val="0"/>
        <w:autoSpaceDN w:val="0"/>
        <w:bidi w:val="0"/>
        <w:adjustRightInd w:val="0"/>
        <w:snapToGrid w:val="0"/>
        <w:spacing w:before="91" w:line="360" w:lineRule="auto"/>
        <w:jc w:val="both"/>
        <w:textAlignment w:val="baseline"/>
        <w:outlineLvl w:val="1"/>
        <w:rPr>
          <w:rFonts w:hint="eastAsia" w:ascii="宋体" w:hAnsi="宋体" w:eastAsia="宋体" w:cs="宋体"/>
          <w:b/>
          <w:bCs/>
          <w:color w:val="auto"/>
          <w:spacing w:val="-2"/>
          <w:sz w:val="28"/>
          <w:szCs w:val="28"/>
          <w:highlight w:val="none"/>
        </w:rPr>
      </w:pPr>
      <w:bookmarkStart w:id="20" w:name="_Toc24224"/>
      <w:r>
        <w:rPr>
          <w:rFonts w:hint="default" w:ascii="Times New Roman" w:hAnsi="Times New Roman" w:eastAsia="宋体" w:cs="Times New Roman"/>
          <w:b/>
          <w:bCs/>
          <w:color w:val="auto"/>
          <w:spacing w:val="-2"/>
          <w:sz w:val="28"/>
          <w:szCs w:val="28"/>
          <w:highlight w:val="none"/>
          <w:lang w:val="en-US" w:eastAsia="zh-CN"/>
        </w:rPr>
        <w:t>6</w:t>
      </w:r>
      <w:r>
        <w:rPr>
          <w:rFonts w:hint="default" w:ascii="Times New Roman" w:hAnsi="Times New Roman" w:eastAsia="宋体" w:cs="Times New Roman"/>
          <w:b/>
          <w:bCs/>
          <w:color w:val="auto"/>
          <w:spacing w:val="-2"/>
          <w:sz w:val="28"/>
          <w:szCs w:val="28"/>
          <w:highlight w:val="none"/>
        </w:rPr>
        <w:t>.</w:t>
      </w:r>
      <w:r>
        <w:rPr>
          <w:rFonts w:hint="default" w:ascii="Times New Roman" w:hAnsi="Times New Roman" w:eastAsia="宋体" w:cs="Times New Roman"/>
          <w:b/>
          <w:bCs/>
          <w:color w:val="auto"/>
          <w:spacing w:val="-2"/>
          <w:sz w:val="28"/>
          <w:szCs w:val="28"/>
          <w:highlight w:val="none"/>
          <w:lang w:val="en-US" w:eastAsia="zh-CN"/>
        </w:rPr>
        <w:t>3</w:t>
      </w:r>
      <w:r>
        <w:rPr>
          <w:rFonts w:hint="eastAsia" w:ascii="宋体" w:hAnsi="宋体" w:eastAsia="宋体" w:cs="宋体"/>
          <w:b/>
          <w:bCs/>
          <w:color w:val="auto"/>
          <w:spacing w:val="-2"/>
          <w:sz w:val="28"/>
          <w:szCs w:val="28"/>
          <w:highlight w:val="none"/>
        </w:rPr>
        <w:t xml:space="preserve">  </w:t>
      </w:r>
      <w:r>
        <w:rPr>
          <w:rFonts w:hint="eastAsia" w:ascii="宋体" w:hAnsi="宋体" w:eastAsia="宋体" w:cs="宋体"/>
          <w:b/>
          <w:bCs/>
          <w:color w:val="auto"/>
          <w:spacing w:val="-2"/>
          <w:sz w:val="28"/>
          <w:szCs w:val="28"/>
          <w:highlight w:val="none"/>
          <w:lang w:val="en-US" w:eastAsia="zh-CN"/>
        </w:rPr>
        <w:t xml:space="preserve"> </w:t>
      </w:r>
      <w:r>
        <w:rPr>
          <w:rFonts w:hint="eastAsia" w:ascii="宋体" w:hAnsi="宋体" w:eastAsia="宋体" w:cs="宋体"/>
          <w:b/>
          <w:bCs/>
          <w:color w:val="auto"/>
          <w:spacing w:val="-2"/>
          <w:sz w:val="28"/>
          <w:szCs w:val="28"/>
          <w:highlight w:val="none"/>
        </w:rPr>
        <w:t>项目验收专项资料</w:t>
      </w:r>
      <w:bookmarkEnd w:id="20"/>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6</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w:t>
      </w: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3</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w:t>
      </w: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1</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项目验收</w:t>
      </w:r>
      <w:r>
        <w:rPr>
          <w:rFonts w:hint="eastAsia" w:ascii="宋体" w:hAnsi="宋体" w:eastAsia="宋体" w:cs="宋体"/>
          <w:snapToGrid w:val="0"/>
          <w:color w:val="auto"/>
          <w:spacing w:val="-3"/>
          <w:kern w:val="0"/>
          <w:position w:val="17"/>
          <w:sz w:val="28"/>
          <w:szCs w:val="28"/>
          <w:highlight w:val="none"/>
          <w:lang w:val="en-US" w:eastAsia="en-US" w:bidi="ar-SA"/>
        </w:rPr>
        <w:t>阶段，</w:t>
      </w:r>
      <w:r>
        <w:rPr>
          <w:rFonts w:hint="eastAsia" w:ascii="宋体" w:hAnsi="宋体" w:eastAsia="宋体" w:cs="宋体"/>
          <w:snapToGrid w:val="0"/>
          <w:color w:val="auto"/>
          <w:spacing w:val="-3"/>
          <w:kern w:val="0"/>
          <w:position w:val="17"/>
          <w:sz w:val="28"/>
          <w:szCs w:val="28"/>
          <w:highlight w:val="none"/>
          <w:lang w:val="en-US" w:eastAsia="zh-CN" w:bidi="ar-SA"/>
        </w:rPr>
        <w:t>验收</w:t>
      </w:r>
      <w:r>
        <w:rPr>
          <w:rFonts w:hint="eastAsia" w:ascii="宋体" w:hAnsi="宋体" w:eastAsia="宋体" w:cs="宋体"/>
          <w:snapToGrid w:val="0"/>
          <w:color w:val="auto"/>
          <w:spacing w:val="-3"/>
          <w:kern w:val="0"/>
          <w:position w:val="17"/>
          <w:sz w:val="28"/>
          <w:szCs w:val="28"/>
          <w:highlight w:val="none"/>
          <w:lang w:val="en-US" w:eastAsia="en-US" w:bidi="ar-SA"/>
        </w:rPr>
        <w:t>文件应包含《绿色建材</w:t>
      </w:r>
      <w:r>
        <w:rPr>
          <w:rFonts w:hint="eastAsia" w:ascii="宋体" w:hAnsi="宋体" w:eastAsia="宋体" w:cs="宋体"/>
          <w:snapToGrid w:val="0"/>
          <w:color w:val="auto"/>
          <w:spacing w:val="-3"/>
          <w:kern w:val="0"/>
          <w:position w:val="17"/>
          <w:sz w:val="28"/>
          <w:szCs w:val="28"/>
          <w:highlight w:val="none"/>
          <w:lang w:val="en-US" w:eastAsia="zh-CN" w:bidi="ar-SA"/>
        </w:rPr>
        <w:t>应用报告书</w:t>
      </w:r>
      <w:r>
        <w:rPr>
          <w:rFonts w:hint="eastAsia" w:ascii="宋体" w:hAnsi="宋体" w:eastAsia="宋体" w:cs="宋体"/>
          <w:snapToGrid w:val="0"/>
          <w:color w:val="auto"/>
          <w:spacing w:val="-3"/>
          <w:kern w:val="0"/>
          <w:position w:val="17"/>
          <w:sz w:val="28"/>
          <w:szCs w:val="28"/>
          <w:highlight w:val="none"/>
          <w:lang w:val="en-US" w:eastAsia="en-US" w:bidi="ar-SA"/>
        </w:rPr>
        <w:t>》，绿色建材主要设计内容、参数及具体构造和措施，并对</w:t>
      </w:r>
      <w:r>
        <w:rPr>
          <w:rFonts w:hint="eastAsia" w:ascii="宋体" w:hAnsi="宋体" w:eastAsia="宋体" w:cs="宋体"/>
          <w:snapToGrid w:val="0"/>
          <w:color w:val="auto"/>
          <w:spacing w:val="-3"/>
          <w:kern w:val="0"/>
          <w:position w:val="17"/>
          <w:sz w:val="28"/>
          <w:szCs w:val="28"/>
          <w:highlight w:val="none"/>
          <w:lang w:val="en-US" w:eastAsia="zh-CN" w:bidi="ar-SA"/>
        </w:rPr>
        <w:t>施工图阶段的</w:t>
      </w:r>
      <w:r>
        <w:rPr>
          <w:rFonts w:hint="eastAsia" w:ascii="宋体" w:hAnsi="宋体" w:eastAsia="宋体" w:cs="宋体"/>
          <w:snapToGrid w:val="0"/>
          <w:color w:val="auto"/>
          <w:spacing w:val="-3"/>
          <w:kern w:val="0"/>
          <w:position w:val="17"/>
          <w:sz w:val="28"/>
          <w:szCs w:val="28"/>
          <w:highlight w:val="none"/>
          <w:lang w:val="en-US" w:eastAsia="en-US" w:bidi="ar-SA"/>
        </w:rPr>
        <w:t>相关内容进行复核。</w:t>
      </w:r>
      <w:r>
        <w:rPr>
          <w:rFonts w:hint="eastAsia" w:ascii="宋体" w:hAnsi="宋体" w:eastAsia="宋体" w:cs="宋体"/>
          <w:snapToGrid w:val="0"/>
          <w:color w:val="auto"/>
          <w:spacing w:val="-3"/>
          <w:kern w:val="0"/>
          <w:position w:val="17"/>
          <w:sz w:val="28"/>
          <w:szCs w:val="28"/>
          <w:highlight w:val="none"/>
          <w:lang w:val="en-US" w:eastAsia="zh-CN" w:bidi="ar-SA"/>
        </w:rPr>
        <w:t>《应用报告书》</w:t>
      </w:r>
      <w:r>
        <w:rPr>
          <w:rFonts w:hint="eastAsia" w:ascii="宋体" w:hAnsi="宋体" w:eastAsia="宋体" w:cs="宋体"/>
          <w:snapToGrid w:val="0"/>
          <w:color w:val="auto"/>
          <w:spacing w:val="-3"/>
          <w:kern w:val="0"/>
          <w:position w:val="17"/>
          <w:sz w:val="28"/>
          <w:szCs w:val="28"/>
          <w:highlight w:val="none"/>
          <w:lang w:val="en-US" w:eastAsia="en-US" w:bidi="ar-SA"/>
        </w:rPr>
        <w:t>含以下内容：</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77" w:leftChars="132"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1</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建筑工程项目建造方式及其结构形式；</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77" w:leftChars="132"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2</w:t>
      </w:r>
      <w:r>
        <w:rPr>
          <w:rFonts w:hint="eastAsia" w:ascii="宋体" w:hAnsi="宋体" w:eastAsia="宋体" w:cs="宋体"/>
          <w:snapToGrid w:val="0"/>
          <w:color w:val="auto"/>
          <w:spacing w:val="-3"/>
          <w:kern w:val="0"/>
          <w:position w:val="17"/>
          <w:sz w:val="28"/>
          <w:szCs w:val="28"/>
          <w:highlight w:val="none"/>
          <w:lang w:val="en-US" w:eastAsia="zh-CN" w:bidi="ar-SA"/>
        </w:rPr>
        <w:t xml:space="preserve">   《计算细则》中的</w:t>
      </w:r>
      <w:r>
        <w:rPr>
          <w:rFonts w:hint="eastAsia" w:ascii="宋体" w:hAnsi="宋体" w:eastAsia="宋体" w:cs="宋体"/>
          <w:snapToGrid w:val="0"/>
          <w:color w:val="auto"/>
          <w:spacing w:val="-3"/>
          <w:kern w:val="0"/>
          <w:position w:val="17"/>
          <w:sz w:val="28"/>
          <w:szCs w:val="28"/>
          <w:highlight w:val="none"/>
          <w:lang w:val="en-US" w:eastAsia="en-US" w:bidi="ar-SA"/>
        </w:rPr>
        <w:t>绿色</w:t>
      </w:r>
      <w:r>
        <w:rPr>
          <w:rFonts w:hint="eastAsia" w:ascii="宋体" w:hAnsi="宋体" w:eastAsia="宋体" w:cs="宋体"/>
          <w:snapToGrid w:val="0"/>
          <w:color w:val="auto"/>
          <w:spacing w:val="-3"/>
          <w:kern w:val="0"/>
          <w:position w:val="17"/>
          <w:sz w:val="28"/>
          <w:szCs w:val="28"/>
          <w:highlight w:val="none"/>
          <w:lang w:val="en-US" w:eastAsia="zh-CN" w:bidi="ar-SA"/>
        </w:rPr>
        <w:t>建材实际比例计算报告</w:t>
      </w:r>
      <w:r>
        <w:rPr>
          <w:rFonts w:hint="eastAsia" w:ascii="宋体" w:hAnsi="宋体" w:eastAsia="宋体" w:cs="宋体"/>
          <w:snapToGrid w:val="0"/>
          <w:color w:val="auto"/>
          <w:spacing w:val="-3"/>
          <w:kern w:val="0"/>
          <w:position w:val="17"/>
          <w:sz w:val="28"/>
          <w:szCs w:val="28"/>
          <w:highlight w:val="non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77" w:leftChars="132"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3</w:t>
      </w:r>
      <w:r>
        <w:rPr>
          <w:rFonts w:hint="eastAsia" w:ascii="宋体" w:hAnsi="宋体" w:eastAsia="宋体" w:cs="宋体"/>
          <w:snapToGrid w:val="0"/>
          <w:color w:val="auto"/>
          <w:spacing w:val="-3"/>
          <w:kern w:val="0"/>
          <w:position w:val="17"/>
          <w:sz w:val="28"/>
          <w:szCs w:val="28"/>
          <w:highlight w:val="none"/>
          <w:lang w:val="en-US" w:eastAsia="zh-CN" w:bidi="ar-SA"/>
        </w:rPr>
        <w:t xml:space="preserve">   绿色建材检测报告认证证书或者符合性证明。</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77" w:leftChars="132"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4</w:t>
      </w:r>
      <w:r>
        <w:rPr>
          <w:rFonts w:hint="eastAsia" w:ascii="宋体" w:hAnsi="宋体" w:eastAsia="宋体" w:cs="宋体"/>
          <w:snapToGrid w:val="0"/>
          <w:color w:val="auto"/>
          <w:spacing w:val="-3"/>
          <w:kern w:val="0"/>
          <w:position w:val="17"/>
          <w:sz w:val="28"/>
          <w:szCs w:val="28"/>
          <w:highlight w:val="none"/>
          <w:lang w:val="en-US" w:eastAsia="zh-CN" w:bidi="ar-SA"/>
        </w:rPr>
        <w:t xml:space="preserve">   施工单位提供绿色建材进场专项</w:t>
      </w:r>
      <w:bookmarkStart w:id="39" w:name="_GoBack"/>
      <w:bookmarkEnd w:id="39"/>
      <w:r>
        <w:rPr>
          <w:rFonts w:hint="eastAsia" w:ascii="宋体" w:hAnsi="宋体" w:eastAsia="宋体" w:cs="宋体"/>
          <w:snapToGrid w:val="0"/>
          <w:color w:val="auto"/>
          <w:spacing w:val="-3"/>
          <w:kern w:val="0"/>
          <w:position w:val="17"/>
          <w:sz w:val="28"/>
          <w:szCs w:val="28"/>
          <w:highlight w:val="none"/>
          <w:lang w:val="en-US" w:eastAsia="zh-CN" w:bidi="ar-SA"/>
        </w:rPr>
        <w:t>台账，内容包括但不限于产品名称、规格型号、 产品数量、进货单位、生产厂家、质量证明文件编号、进场时间等。</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77" w:leftChars="132"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5</w:t>
      </w:r>
      <w:r>
        <w:rPr>
          <w:rFonts w:hint="eastAsia" w:ascii="宋体" w:hAnsi="宋体" w:eastAsia="宋体" w:cs="宋体"/>
          <w:snapToGrid w:val="0"/>
          <w:color w:val="auto"/>
          <w:spacing w:val="-3"/>
          <w:kern w:val="0"/>
          <w:position w:val="17"/>
          <w:sz w:val="28"/>
          <w:szCs w:val="28"/>
          <w:highlight w:val="none"/>
          <w:lang w:val="en-US" w:eastAsia="zh-CN" w:bidi="ar-SA"/>
        </w:rPr>
        <w:t xml:space="preserve">   建设单位提供绿色建材进场验收时施工、监理单位出具的核查质量证明文件，包括合格证、型式检验（检测）报告/认证证书，其中型式检验（检测）报告测报告需完 整描述受检绿色建材的委托人名称及地址、制造商名称及地址、生产厂名称及地址、 产品名称、产品描述、型号、规格等。</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77" w:leftChars="132"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6</w:t>
      </w:r>
      <w:r>
        <w:rPr>
          <w:rFonts w:hint="eastAsia" w:ascii="宋体" w:hAnsi="宋体" w:eastAsia="宋体" w:cs="宋体"/>
          <w:snapToGrid w:val="0"/>
          <w:color w:val="auto"/>
          <w:spacing w:val="-3"/>
          <w:kern w:val="0"/>
          <w:position w:val="17"/>
          <w:sz w:val="28"/>
          <w:szCs w:val="28"/>
          <w:highlight w:val="none"/>
          <w:lang w:val="en-US" w:eastAsia="zh-CN" w:bidi="ar-SA"/>
        </w:rPr>
        <w:t xml:space="preserve">   按照以上要求编写验收专篇并装订成册形成报告书。</w:t>
      </w:r>
    </w:p>
    <w:p>
      <w:pPr>
        <w:keepNext w:val="0"/>
        <w:keepLines w:val="0"/>
        <w:pageBreakBefore w:val="0"/>
        <w:kinsoku/>
        <w:overflowPunct/>
        <w:topLinePunct w:val="0"/>
        <w:bidi w:val="0"/>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宋体" w:hAnsi="宋体" w:eastAsia="宋体" w:cs="宋体"/>
          <w:snapToGrid w:val="0"/>
          <w:color w:val="auto"/>
          <w:spacing w:val="-3"/>
          <w:kern w:val="0"/>
          <w:position w:val="17"/>
          <w:sz w:val="28"/>
          <w:szCs w:val="28"/>
          <w:highlight w:val="none"/>
          <w:lang w:val="en-US" w:eastAsia="zh-CN" w:bidi="ar-SA"/>
        </w:rPr>
        <w:br w:type="page"/>
      </w:r>
    </w:p>
    <w:p>
      <w:pPr>
        <w:keepNext w:val="0"/>
        <w:keepLines w:val="0"/>
        <w:pageBreakBefore w:val="0"/>
        <w:kinsoku/>
        <w:overflowPunct/>
        <w:topLinePunct w:val="0"/>
        <w:bidi w:val="0"/>
        <w:spacing w:before="101" w:line="223" w:lineRule="auto"/>
        <w:ind w:left="3571"/>
        <w:jc w:val="both"/>
        <w:outlineLvl w:val="0"/>
        <w:rPr>
          <w:rFonts w:hint="eastAsia" w:ascii="宋体" w:hAnsi="宋体" w:eastAsia="宋体" w:cs="宋体"/>
          <w:b/>
          <w:bCs/>
          <w:color w:val="auto"/>
          <w:spacing w:val="2"/>
          <w:sz w:val="32"/>
          <w:szCs w:val="32"/>
          <w:highlight w:val="none"/>
        </w:rPr>
      </w:pPr>
      <w:bookmarkStart w:id="21" w:name="bookmark11"/>
      <w:bookmarkEnd w:id="21"/>
      <w:bookmarkStart w:id="22" w:name="bookmark12"/>
      <w:bookmarkEnd w:id="22"/>
      <w:bookmarkStart w:id="23" w:name="_Toc15600"/>
      <w:r>
        <w:rPr>
          <w:rFonts w:hint="default" w:ascii="Times New Roman" w:hAnsi="Times New Roman" w:eastAsia="宋体" w:cs="Times New Roman"/>
          <w:b/>
          <w:bCs/>
          <w:color w:val="auto"/>
          <w:spacing w:val="2"/>
          <w:sz w:val="32"/>
          <w:szCs w:val="32"/>
          <w:highlight w:val="none"/>
          <w:lang w:val="en-US" w:eastAsia="zh-CN"/>
        </w:rPr>
        <w:t>7</w:t>
      </w:r>
      <w:r>
        <w:rPr>
          <w:rFonts w:hint="eastAsia" w:ascii="宋体" w:hAnsi="宋体" w:eastAsia="宋体" w:cs="宋体"/>
          <w:b/>
          <w:bCs/>
          <w:color w:val="auto"/>
          <w:spacing w:val="2"/>
          <w:sz w:val="32"/>
          <w:szCs w:val="32"/>
          <w:highlight w:val="none"/>
          <w:lang w:val="en-US" w:eastAsia="zh-CN"/>
        </w:rPr>
        <w:t xml:space="preserve">  </w:t>
      </w:r>
      <w:r>
        <w:rPr>
          <w:rFonts w:hint="eastAsia" w:ascii="宋体" w:hAnsi="宋体" w:eastAsia="宋体" w:cs="宋体"/>
          <w:b/>
          <w:bCs/>
          <w:color w:val="auto"/>
          <w:spacing w:val="2"/>
          <w:sz w:val="32"/>
          <w:szCs w:val="32"/>
          <w:highlight w:val="none"/>
        </w:rPr>
        <w:t>评价要点</w:t>
      </w:r>
      <w:bookmarkEnd w:id="23"/>
    </w:p>
    <w:p>
      <w:pPr>
        <w:pStyle w:val="3"/>
        <w:keepNext w:val="0"/>
        <w:keepLines w:val="0"/>
        <w:pageBreakBefore w:val="0"/>
        <w:kinsoku/>
        <w:overflowPunct/>
        <w:topLinePunct w:val="0"/>
        <w:bidi w:val="0"/>
        <w:jc w:val="both"/>
        <w:rPr>
          <w:rFonts w:hint="eastAsia"/>
          <w:color w:val="auto"/>
        </w:rPr>
      </w:pPr>
    </w:p>
    <w:p>
      <w:pPr>
        <w:keepNext w:val="0"/>
        <w:keepLines w:val="0"/>
        <w:pageBreakBefore w:val="0"/>
        <w:widowControl/>
        <w:kinsoku/>
        <w:wordWrap/>
        <w:overflowPunct/>
        <w:topLinePunct w:val="0"/>
        <w:autoSpaceDE w:val="0"/>
        <w:autoSpaceDN w:val="0"/>
        <w:bidi w:val="0"/>
        <w:adjustRightInd w:val="0"/>
        <w:snapToGrid w:val="0"/>
        <w:spacing w:before="91" w:line="360" w:lineRule="auto"/>
        <w:ind w:left="1"/>
        <w:jc w:val="both"/>
        <w:textAlignment w:val="baseline"/>
        <w:outlineLvl w:val="1"/>
        <w:rPr>
          <w:rFonts w:hint="eastAsia" w:ascii="宋体" w:hAnsi="宋体" w:eastAsia="宋体" w:cs="宋体"/>
          <w:b/>
          <w:bCs/>
          <w:color w:val="auto"/>
          <w:spacing w:val="-2"/>
          <w:sz w:val="28"/>
          <w:szCs w:val="28"/>
          <w:highlight w:val="none"/>
        </w:rPr>
      </w:pPr>
      <w:bookmarkStart w:id="24" w:name="_Toc15559"/>
      <w:r>
        <w:rPr>
          <w:rFonts w:hint="default" w:ascii="Times New Roman" w:hAnsi="Times New Roman" w:eastAsia="宋体" w:cs="Times New Roman"/>
          <w:b/>
          <w:bCs/>
          <w:color w:val="auto"/>
          <w:spacing w:val="-2"/>
          <w:sz w:val="28"/>
          <w:szCs w:val="28"/>
          <w:highlight w:val="none"/>
          <w:lang w:val="en-US" w:eastAsia="zh-CN"/>
        </w:rPr>
        <w:t>7</w:t>
      </w:r>
      <w:r>
        <w:rPr>
          <w:rFonts w:hint="default" w:ascii="Times New Roman" w:hAnsi="Times New Roman" w:eastAsia="宋体" w:cs="Times New Roman"/>
          <w:b/>
          <w:bCs/>
          <w:color w:val="auto"/>
          <w:spacing w:val="-2"/>
          <w:sz w:val="28"/>
          <w:szCs w:val="28"/>
          <w:highlight w:val="none"/>
        </w:rPr>
        <w:t xml:space="preserve">.1 </w:t>
      </w:r>
      <w:r>
        <w:rPr>
          <w:rFonts w:hint="eastAsia" w:ascii="宋体" w:hAnsi="宋体" w:eastAsia="宋体" w:cs="宋体"/>
          <w:b/>
          <w:bCs/>
          <w:color w:val="auto"/>
          <w:spacing w:val="-2"/>
          <w:sz w:val="28"/>
          <w:szCs w:val="28"/>
          <w:highlight w:val="none"/>
        </w:rPr>
        <w:t xml:space="preserve"> </w:t>
      </w:r>
      <w:r>
        <w:rPr>
          <w:rFonts w:hint="eastAsia" w:ascii="宋体" w:hAnsi="宋体" w:eastAsia="宋体" w:cs="宋体"/>
          <w:b/>
          <w:bCs/>
          <w:color w:val="auto"/>
          <w:spacing w:val="-2"/>
          <w:sz w:val="28"/>
          <w:szCs w:val="28"/>
          <w:highlight w:val="none"/>
          <w:lang w:val="en-US" w:eastAsia="zh-CN"/>
        </w:rPr>
        <w:t xml:space="preserve"> </w:t>
      </w:r>
      <w:r>
        <w:rPr>
          <w:rFonts w:hint="eastAsia" w:ascii="宋体" w:hAnsi="宋体" w:eastAsia="宋体" w:cs="宋体"/>
          <w:b/>
          <w:bCs/>
          <w:color w:val="auto"/>
          <w:spacing w:val="-2"/>
          <w:sz w:val="28"/>
          <w:szCs w:val="28"/>
          <w:highlight w:val="none"/>
        </w:rPr>
        <w:t>一般规定</w:t>
      </w:r>
      <w:bookmarkEnd w:id="24"/>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7</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.1.1</w:t>
      </w:r>
      <w:r>
        <w:rPr>
          <w:rFonts w:hint="eastAsia" w:ascii="宋体" w:hAnsi="宋体" w:eastAsia="宋体" w:cs="宋体"/>
          <w:b/>
          <w:bCs/>
          <w:snapToGrid w:val="0"/>
          <w:color w:val="auto"/>
          <w:spacing w:val="-3"/>
          <w:kern w:val="0"/>
          <w:position w:val="17"/>
          <w:sz w:val="28"/>
          <w:szCs w:val="28"/>
          <w:highlight w:val="none"/>
          <w:lang w:val="en-US" w:eastAsia="en-US" w:bidi="ar-SA"/>
        </w:rPr>
        <w:t xml:space="preserve"> </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列入</w:t>
      </w:r>
      <w:r>
        <w:rPr>
          <w:rFonts w:hint="eastAsia" w:ascii="宋体" w:hAnsi="宋体" w:eastAsia="宋体" w:cs="宋体"/>
          <w:snapToGrid w:val="0"/>
          <w:color w:val="auto"/>
          <w:spacing w:val="-3"/>
          <w:kern w:val="0"/>
          <w:position w:val="17"/>
          <w:sz w:val="28"/>
          <w:szCs w:val="28"/>
          <w:highlight w:val="none"/>
          <w:lang w:val="en-US" w:eastAsia="zh-CN" w:bidi="ar-SA"/>
        </w:rPr>
        <w:t>绿色建材应用</w:t>
      </w:r>
      <w:r>
        <w:rPr>
          <w:rFonts w:hint="eastAsia" w:ascii="宋体" w:hAnsi="宋体" w:eastAsia="宋体" w:cs="宋体"/>
          <w:snapToGrid w:val="0"/>
          <w:color w:val="auto"/>
          <w:spacing w:val="-3"/>
          <w:kern w:val="0"/>
          <w:position w:val="17"/>
          <w:sz w:val="28"/>
          <w:szCs w:val="28"/>
          <w:highlight w:val="none"/>
          <w:lang w:val="en-US" w:eastAsia="en-US" w:bidi="ar-SA"/>
        </w:rPr>
        <w:t>的项目，在建设过程中出现下列情况之一者，根据违反的具体情况，依据相关法律法规进行相应的处罚，并上网公布，视情节严重纳入信用体系。</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1</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绿色建材性能要求及应用比例不合格的；</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2       </w:t>
      </w:r>
      <w:r>
        <w:rPr>
          <w:rFonts w:hint="eastAsia" w:ascii="宋体" w:hAnsi="宋体" w:eastAsia="宋体" w:cs="宋体"/>
          <w:snapToGrid w:val="0"/>
          <w:color w:val="auto"/>
          <w:spacing w:val="-3"/>
          <w:kern w:val="0"/>
          <w:position w:val="17"/>
          <w:sz w:val="28"/>
          <w:szCs w:val="28"/>
          <w:highlight w:val="none"/>
          <w:lang w:val="en-US" w:eastAsia="en-US" w:bidi="ar-SA"/>
        </w:rPr>
        <w:t>未按国家、省、市相关标准、导则和产品质量要求实施的；</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3</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未按规定程序和施工图纸组织建设的；</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4</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未按规定时间完成项目验收的；</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5</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对上级部门发现问题未及时整改的；</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6</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提供虚假材料的。</w:t>
      </w:r>
    </w:p>
    <w:p>
      <w:pPr>
        <w:keepNext w:val="0"/>
        <w:keepLines w:val="0"/>
        <w:pageBreakBefore w:val="0"/>
        <w:kinsoku/>
        <w:overflowPunct/>
        <w:topLinePunct w:val="0"/>
        <w:bidi w:val="0"/>
        <w:spacing w:before="78" w:line="289" w:lineRule="auto"/>
        <w:ind w:left="237" w:leftChars="113" w:right="2" w:firstLine="265" w:firstLineChars="97"/>
        <w:jc w:val="both"/>
        <w:rPr>
          <w:rFonts w:hint="eastAsia" w:ascii="宋体" w:hAnsi="宋体" w:eastAsia="宋体" w:cs="宋体"/>
          <w:snapToGrid w:val="0"/>
          <w:color w:val="auto"/>
          <w:spacing w:val="-3"/>
          <w:kern w:val="0"/>
          <w:position w:val="17"/>
          <w:sz w:val="28"/>
          <w:szCs w:val="28"/>
          <w:highlight w:val="none"/>
          <w:lang w:val="en-US" w:eastAsia="en-US" w:bidi="ar-SA"/>
        </w:rPr>
      </w:pPr>
    </w:p>
    <w:p>
      <w:pPr>
        <w:keepNext w:val="0"/>
        <w:keepLines w:val="0"/>
        <w:pageBreakBefore w:val="0"/>
        <w:widowControl/>
        <w:kinsoku/>
        <w:wordWrap/>
        <w:overflowPunct/>
        <w:topLinePunct w:val="0"/>
        <w:autoSpaceDE w:val="0"/>
        <w:autoSpaceDN w:val="0"/>
        <w:bidi w:val="0"/>
        <w:adjustRightInd w:val="0"/>
        <w:snapToGrid w:val="0"/>
        <w:spacing w:before="91" w:line="360" w:lineRule="auto"/>
        <w:ind w:left="1"/>
        <w:jc w:val="both"/>
        <w:textAlignment w:val="baseline"/>
        <w:outlineLvl w:val="1"/>
        <w:rPr>
          <w:rFonts w:hint="eastAsia" w:ascii="宋体" w:hAnsi="宋体" w:eastAsia="宋体" w:cs="宋体"/>
          <w:color w:val="auto"/>
          <w:sz w:val="28"/>
          <w:szCs w:val="28"/>
          <w:highlight w:val="none"/>
          <w:lang w:eastAsia="zh-CN"/>
        </w:rPr>
      </w:pPr>
      <w:bookmarkStart w:id="25" w:name="bookmark13"/>
      <w:bookmarkEnd w:id="25"/>
      <w:bookmarkStart w:id="26" w:name="_Toc23328"/>
      <w:r>
        <w:rPr>
          <w:rFonts w:hint="default" w:ascii="Times New Roman" w:hAnsi="Times New Roman" w:eastAsia="宋体" w:cs="Times New Roman"/>
          <w:b/>
          <w:bCs/>
          <w:color w:val="auto"/>
          <w:spacing w:val="-2"/>
          <w:sz w:val="28"/>
          <w:szCs w:val="28"/>
          <w:highlight w:val="none"/>
          <w:lang w:val="en-US" w:eastAsia="zh-CN"/>
        </w:rPr>
        <w:t>7</w:t>
      </w:r>
      <w:r>
        <w:rPr>
          <w:rFonts w:hint="default" w:ascii="Times New Roman" w:hAnsi="Times New Roman" w:eastAsia="宋体" w:cs="Times New Roman"/>
          <w:b/>
          <w:bCs/>
          <w:color w:val="auto"/>
          <w:spacing w:val="-2"/>
          <w:sz w:val="28"/>
          <w:szCs w:val="28"/>
          <w:highlight w:val="none"/>
        </w:rPr>
        <w:t>.2</w:t>
      </w:r>
      <w:r>
        <w:rPr>
          <w:rFonts w:hint="eastAsia" w:ascii="宋体" w:hAnsi="宋体" w:eastAsia="宋体" w:cs="宋体"/>
          <w:b/>
          <w:bCs/>
          <w:color w:val="auto"/>
          <w:spacing w:val="-2"/>
          <w:sz w:val="28"/>
          <w:szCs w:val="28"/>
          <w:highlight w:val="none"/>
        </w:rPr>
        <w:t xml:space="preserve">  </w:t>
      </w:r>
      <w:r>
        <w:rPr>
          <w:rFonts w:hint="eastAsia" w:ascii="宋体" w:hAnsi="宋体" w:eastAsia="宋体" w:cs="宋体"/>
          <w:b/>
          <w:bCs/>
          <w:color w:val="auto"/>
          <w:spacing w:val="-2"/>
          <w:sz w:val="28"/>
          <w:szCs w:val="28"/>
          <w:highlight w:val="none"/>
          <w:lang w:val="en-US" w:eastAsia="zh-CN"/>
        </w:rPr>
        <w:t xml:space="preserve"> </w:t>
      </w:r>
      <w:r>
        <w:rPr>
          <w:rFonts w:hint="eastAsia" w:ascii="宋体" w:hAnsi="宋体" w:eastAsia="宋体" w:cs="宋体"/>
          <w:b/>
          <w:bCs/>
          <w:color w:val="auto"/>
          <w:spacing w:val="-2"/>
          <w:sz w:val="28"/>
          <w:szCs w:val="28"/>
          <w:highlight w:val="none"/>
          <w:lang w:eastAsia="zh-CN"/>
        </w:rPr>
        <w:t>绿色建材</w:t>
      </w:r>
      <w:r>
        <w:rPr>
          <w:rFonts w:hint="eastAsia" w:ascii="宋体" w:hAnsi="宋体" w:eastAsia="宋体" w:cs="宋体"/>
          <w:b/>
          <w:bCs/>
          <w:color w:val="auto"/>
          <w:spacing w:val="-2"/>
          <w:sz w:val="28"/>
          <w:szCs w:val="28"/>
          <w:highlight w:val="none"/>
        </w:rPr>
        <w:t>应用</w:t>
      </w:r>
      <w:r>
        <w:rPr>
          <w:rFonts w:hint="eastAsia" w:ascii="宋体" w:hAnsi="宋体" w:eastAsia="宋体" w:cs="宋体"/>
          <w:b/>
          <w:bCs/>
          <w:color w:val="auto"/>
          <w:spacing w:val="-2"/>
          <w:sz w:val="28"/>
          <w:szCs w:val="28"/>
          <w:highlight w:val="none"/>
          <w:lang w:eastAsia="zh-CN"/>
        </w:rPr>
        <w:t>评价</w:t>
      </w:r>
      <w:bookmarkEnd w:id="26"/>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7</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.2.1</w:t>
      </w:r>
      <w:r>
        <w:rPr>
          <w:rFonts w:hint="eastAsia" w:ascii="宋体" w:hAnsi="宋体" w:eastAsia="宋体" w:cs="宋体"/>
          <w:b/>
          <w:bCs/>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绿色建材</w:t>
      </w:r>
      <w:r>
        <w:rPr>
          <w:rFonts w:hint="eastAsia" w:ascii="宋体" w:hAnsi="宋体" w:eastAsia="宋体" w:cs="宋体"/>
          <w:snapToGrid w:val="0"/>
          <w:color w:val="auto"/>
          <w:spacing w:val="-3"/>
          <w:kern w:val="0"/>
          <w:position w:val="17"/>
          <w:sz w:val="28"/>
          <w:szCs w:val="28"/>
          <w:highlight w:val="none"/>
          <w:lang w:val="en-US" w:eastAsia="en-US" w:bidi="ar-SA"/>
        </w:rPr>
        <w:t>应用</w:t>
      </w:r>
      <w:r>
        <w:rPr>
          <w:rFonts w:hint="eastAsia" w:ascii="宋体" w:hAnsi="宋体" w:eastAsia="宋体" w:cs="宋体"/>
          <w:snapToGrid w:val="0"/>
          <w:color w:val="auto"/>
          <w:spacing w:val="-3"/>
          <w:kern w:val="0"/>
          <w:position w:val="17"/>
          <w:sz w:val="28"/>
          <w:szCs w:val="28"/>
          <w:highlight w:val="none"/>
          <w:lang w:val="en-US" w:eastAsia="zh-CN" w:bidi="ar-SA"/>
        </w:rPr>
        <w:t>评价</w:t>
      </w:r>
      <w:r>
        <w:rPr>
          <w:rFonts w:hint="eastAsia" w:ascii="宋体" w:hAnsi="宋体" w:eastAsia="宋体" w:cs="宋体"/>
          <w:snapToGrid w:val="0"/>
          <w:color w:val="auto"/>
          <w:spacing w:val="-3"/>
          <w:kern w:val="0"/>
          <w:position w:val="17"/>
          <w:sz w:val="28"/>
          <w:szCs w:val="28"/>
          <w:highlight w:val="none"/>
          <w:lang w:val="en-US" w:eastAsia="en-US" w:bidi="ar-SA"/>
        </w:rPr>
        <w:t>内容应包括以下内容：</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1</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建材供应商提供包含相关指标的第三方检测报告或认证证书或符合性证明等文件。</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2</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相关责任单位按照施工验收规范的要求提供的绿色建材进场验收合格证明。</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237" w:leftChars="113" w:right="2" w:firstLine="266" w:firstLineChars="97"/>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3</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建设单位在项目竣工阶段，根据实际使用情况，经过核算提交的</w:t>
      </w:r>
      <w:r>
        <w:rPr>
          <w:rFonts w:hint="eastAsia" w:ascii="宋体" w:hAnsi="宋体" w:eastAsia="宋体" w:cs="宋体"/>
          <w:snapToGrid w:val="0"/>
          <w:color w:val="auto"/>
          <w:spacing w:val="-3"/>
          <w:kern w:val="0"/>
          <w:position w:val="17"/>
          <w:sz w:val="28"/>
          <w:szCs w:val="28"/>
          <w:highlight w:val="none"/>
          <w:lang w:val="en-US" w:eastAsia="zh-CN" w:bidi="ar-SA"/>
        </w:rPr>
        <w:t>主体及围护结构工程材料</w:t>
      </w:r>
      <w:r>
        <w:rPr>
          <w:rFonts w:hint="eastAsia" w:ascii="宋体" w:hAnsi="宋体" w:eastAsia="宋体" w:cs="宋体"/>
          <w:snapToGrid w:val="0"/>
          <w:color w:val="auto"/>
          <w:spacing w:val="-3"/>
          <w:kern w:val="0"/>
          <w:position w:val="17"/>
          <w:sz w:val="28"/>
          <w:szCs w:val="28"/>
          <w:highlight w:val="none"/>
          <w:lang w:val="en-US" w:eastAsia="en-US" w:bidi="ar-SA"/>
        </w:rPr>
        <w:t>利用绿色建材应用比例计算书。</w:t>
      </w:r>
    </w:p>
    <w:p>
      <w:pPr>
        <w:keepNext w:val="0"/>
        <w:keepLines w:val="0"/>
        <w:pageBreakBefore w:val="0"/>
        <w:widowControl/>
        <w:kinsoku/>
        <w:wordWrap/>
        <w:overflowPunct/>
        <w:topLinePunct w:val="0"/>
        <w:autoSpaceDE w:val="0"/>
        <w:autoSpaceDN w:val="0"/>
        <w:bidi w:val="0"/>
        <w:adjustRightInd w:val="0"/>
        <w:snapToGrid w:val="0"/>
        <w:spacing w:before="79" w:line="360" w:lineRule="auto"/>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7</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w:t>
      </w: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2</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.2</w:t>
      </w:r>
      <w:r>
        <w:rPr>
          <w:rFonts w:hint="eastAsia" w:ascii="宋体" w:hAnsi="宋体" w:eastAsia="宋体" w:cs="宋体"/>
          <w:b/>
          <w:bCs/>
          <w:snapToGrid w:val="0"/>
          <w:color w:val="auto"/>
          <w:spacing w:val="-3"/>
          <w:kern w:val="0"/>
          <w:position w:val="17"/>
          <w:sz w:val="28"/>
          <w:szCs w:val="28"/>
          <w:highlight w:val="none"/>
          <w:lang w:val="en-US" w:eastAsia="en-US" w:bidi="ar-SA"/>
        </w:rPr>
        <w:t xml:space="preserve"> </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应用项目使用的绿色建材</w:t>
      </w:r>
      <w:r>
        <w:rPr>
          <w:rFonts w:hint="eastAsia" w:ascii="宋体" w:hAnsi="宋体" w:eastAsia="宋体" w:cs="宋体"/>
          <w:snapToGrid w:val="0"/>
          <w:color w:val="auto"/>
          <w:spacing w:val="-3"/>
          <w:kern w:val="0"/>
          <w:position w:val="17"/>
          <w:sz w:val="28"/>
          <w:szCs w:val="28"/>
          <w:highlight w:val="none"/>
          <w:lang w:val="en-US" w:eastAsia="en-US" w:bidi="ar-SA"/>
        </w:rPr>
        <w:t>应满足《</w:t>
      </w:r>
      <w:r>
        <w:rPr>
          <w:rFonts w:hint="eastAsia" w:ascii="宋体" w:hAnsi="宋体" w:eastAsia="宋体" w:cs="宋体"/>
          <w:snapToGrid w:val="0"/>
          <w:color w:val="auto"/>
          <w:spacing w:val="-3"/>
          <w:kern w:val="0"/>
          <w:position w:val="17"/>
          <w:sz w:val="28"/>
          <w:szCs w:val="28"/>
          <w:highlight w:val="none"/>
          <w:lang w:val="en-US" w:eastAsia="zh-CN" w:bidi="ar-SA"/>
        </w:rPr>
        <w:t>基本要求</w:t>
      </w:r>
      <w:r>
        <w:rPr>
          <w:rFonts w:hint="eastAsia" w:ascii="宋体" w:hAnsi="宋体" w:eastAsia="宋体" w:cs="宋体"/>
          <w:snapToGrid w:val="0"/>
          <w:color w:val="auto"/>
          <w:spacing w:val="-3"/>
          <w:kern w:val="0"/>
          <w:position w:val="17"/>
          <w:sz w:val="28"/>
          <w:szCs w:val="28"/>
          <w:highlight w:val="none"/>
          <w:lang w:val="en-US" w:eastAsia="en-US" w:bidi="ar-SA"/>
        </w:rPr>
        <w:t>》中对其品质属性的要求</w:t>
      </w:r>
      <w:r>
        <w:rPr>
          <w:rFonts w:hint="eastAsia" w:ascii="宋体" w:hAnsi="宋体" w:eastAsia="宋体" w:cs="宋体"/>
          <w:snapToGrid w:val="0"/>
          <w:color w:val="auto"/>
          <w:spacing w:val="-3"/>
          <w:kern w:val="0"/>
          <w:position w:val="17"/>
          <w:sz w:val="28"/>
          <w:szCs w:val="28"/>
          <w:highlight w:val="none"/>
          <w:lang w:val="en-US" w:eastAsia="zh-CN" w:bidi="ar-SA"/>
        </w:rPr>
        <w:t>。</w:t>
      </w:r>
    </w:p>
    <w:p>
      <w:pPr>
        <w:keepNext w:val="0"/>
        <w:keepLines w:val="0"/>
        <w:pageBreakBefore w:val="0"/>
        <w:widowControl/>
        <w:kinsoku/>
        <w:wordWrap/>
        <w:overflowPunct/>
        <w:topLinePunct w:val="0"/>
        <w:autoSpaceDE w:val="0"/>
        <w:autoSpaceDN w:val="0"/>
        <w:bidi w:val="0"/>
        <w:adjustRightInd w:val="0"/>
        <w:snapToGrid w:val="0"/>
        <w:spacing w:before="79" w:line="360" w:lineRule="auto"/>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7.2.3</w:t>
      </w:r>
      <w:r>
        <w:rPr>
          <w:rFonts w:hint="eastAsia" w:ascii="宋体" w:hAnsi="宋体" w:eastAsia="宋体" w:cs="宋体"/>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应用项目使用的绿色建材的性能指标不应低于设计文件的要求。</w:t>
      </w:r>
    </w:p>
    <w:p>
      <w:pPr>
        <w:keepNext w:val="0"/>
        <w:keepLines w:val="0"/>
        <w:pageBreakBefore w:val="0"/>
        <w:widowControl/>
        <w:kinsoku/>
        <w:wordWrap/>
        <w:overflowPunct/>
        <w:topLinePunct w:val="0"/>
        <w:autoSpaceDE w:val="0"/>
        <w:autoSpaceDN w:val="0"/>
        <w:bidi w:val="0"/>
        <w:adjustRightInd w:val="0"/>
        <w:snapToGrid w:val="0"/>
        <w:spacing w:before="79" w:line="360" w:lineRule="auto"/>
        <w:jc w:val="both"/>
        <w:textAlignment w:val="baseline"/>
        <w:rPr>
          <w:rFonts w:ascii="宋体" w:hAnsi="宋体" w:eastAsia="宋体" w:cs="宋体"/>
          <w:snapToGrid w:val="0"/>
          <w:color w:val="auto"/>
          <w:spacing w:val="-3"/>
          <w:kern w:val="0"/>
          <w:position w:val="17"/>
          <w:sz w:val="24"/>
          <w:szCs w:val="24"/>
          <w:highlight w:val="none"/>
          <w:lang w:val="en-US" w:eastAsia="en-US" w:bidi="ar-SA"/>
        </w:rPr>
      </w:pPr>
    </w:p>
    <w:p>
      <w:pPr>
        <w:pStyle w:val="7"/>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color w:val="auto"/>
          <w:highlight w:val="none"/>
        </w:rPr>
      </w:pPr>
      <w:bookmarkStart w:id="27" w:name="bookmark14"/>
      <w:bookmarkEnd w:id="27"/>
    </w:p>
    <w:p>
      <w:pPr>
        <w:keepNext w:val="0"/>
        <w:keepLines w:val="0"/>
        <w:pageBreakBefore w:val="0"/>
        <w:widowControl/>
        <w:kinsoku/>
        <w:wordWrap/>
        <w:overflowPunct/>
        <w:topLinePunct w:val="0"/>
        <w:autoSpaceDE w:val="0"/>
        <w:autoSpaceDN w:val="0"/>
        <w:bidi w:val="0"/>
        <w:adjustRightInd w:val="0"/>
        <w:snapToGrid w:val="0"/>
        <w:spacing w:before="101" w:line="360" w:lineRule="auto"/>
        <w:ind w:left="3249"/>
        <w:jc w:val="both"/>
        <w:textAlignment w:val="baseline"/>
        <w:outlineLvl w:val="0"/>
        <w:rPr>
          <w:rFonts w:hint="eastAsia" w:ascii="宋体" w:hAnsi="宋体" w:eastAsia="宋体" w:cs="宋体"/>
          <w:color w:val="auto"/>
          <w:sz w:val="32"/>
          <w:szCs w:val="32"/>
          <w:highlight w:val="none"/>
        </w:rPr>
      </w:pPr>
      <w:bookmarkStart w:id="28" w:name="bookmark16"/>
      <w:bookmarkEnd w:id="28"/>
      <w:bookmarkStart w:id="29" w:name="bookmark17"/>
      <w:bookmarkEnd w:id="29"/>
      <w:bookmarkStart w:id="30" w:name="_Toc7146"/>
      <w:r>
        <w:rPr>
          <w:rFonts w:hint="eastAsia" w:ascii="宋体" w:hAnsi="宋体" w:eastAsia="宋体" w:cs="宋体"/>
          <w:b/>
          <w:bCs/>
          <w:color w:val="auto"/>
          <w:spacing w:val="3"/>
          <w:sz w:val="32"/>
          <w:szCs w:val="32"/>
          <w:highlight w:val="none"/>
          <w:lang w:val="en-US" w:eastAsia="zh-CN"/>
        </w:rPr>
        <w:t xml:space="preserve">8  </w:t>
      </w:r>
      <w:r>
        <w:rPr>
          <w:rFonts w:hint="eastAsia" w:ascii="宋体" w:hAnsi="宋体" w:eastAsia="宋体" w:cs="宋体"/>
          <w:b/>
          <w:bCs/>
          <w:color w:val="auto"/>
          <w:spacing w:val="3"/>
          <w:sz w:val="32"/>
          <w:szCs w:val="32"/>
          <w:highlight w:val="none"/>
          <w:lang w:eastAsia="zh-CN"/>
        </w:rPr>
        <w:t>应用项目</w:t>
      </w:r>
      <w:r>
        <w:rPr>
          <w:rFonts w:hint="eastAsia" w:ascii="宋体" w:hAnsi="宋体" w:eastAsia="宋体" w:cs="宋体"/>
          <w:b/>
          <w:bCs/>
          <w:color w:val="auto"/>
          <w:spacing w:val="3"/>
          <w:sz w:val="32"/>
          <w:szCs w:val="32"/>
          <w:highlight w:val="none"/>
        </w:rPr>
        <w:t>评价</w:t>
      </w:r>
      <w:bookmarkEnd w:id="30"/>
    </w:p>
    <w:p>
      <w:pPr>
        <w:keepNext w:val="0"/>
        <w:keepLines w:val="0"/>
        <w:pageBreakBefore w:val="0"/>
        <w:widowControl/>
        <w:kinsoku/>
        <w:wordWrap/>
        <w:overflowPunct/>
        <w:topLinePunct w:val="0"/>
        <w:autoSpaceDE w:val="0"/>
        <w:autoSpaceDN w:val="0"/>
        <w:bidi w:val="0"/>
        <w:adjustRightInd w:val="0"/>
        <w:snapToGrid w:val="0"/>
        <w:spacing w:before="137" w:line="360" w:lineRule="auto"/>
        <w:jc w:val="both"/>
        <w:textAlignment w:val="baseline"/>
        <w:outlineLvl w:val="1"/>
        <w:rPr>
          <w:rFonts w:hint="eastAsia" w:ascii="宋体" w:hAnsi="宋体" w:eastAsia="宋体" w:cs="宋体"/>
          <w:color w:val="auto"/>
          <w:sz w:val="28"/>
          <w:szCs w:val="28"/>
          <w:highlight w:val="none"/>
        </w:rPr>
      </w:pPr>
      <w:bookmarkStart w:id="31" w:name="_Toc26047"/>
      <w:r>
        <w:rPr>
          <w:rFonts w:hint="default" w:ascii="Times New Roman" w:hAnsi="Times New Roman" w:eastAsia="宋体" w:cs="Times New Roman"/>
          <w:b/>
          <w:bCs/>
          <w:color w:val="auto"/>
          <w:spacing w:val="-5"/>
          <w:sz w:val="28"/>
          <w:szCs w:val="28"/>
          <w:highlight w:val="none"/>
          <w:lang w:val="en-US" w:eastAsia="zh-CN"/>
        </w:rPr>
        <w:t>8</w:t>
      </w:r>
      <w:r>
        <w:rPr>
          <w:rFonts w:hint="default" w:ascii="Times New Roman" w:hAnsi="Times New Roman" w:eastAsia="宋体" w:cs="Times New Roman"/>
          <w:b/>
          <w:bCs/>
          <w:color w:val="auto"/>
          <w:spacing w:val="-5"/>
          <w:sz w:val="28"/>
          <w:szCs w:val="28"/>
          <w:highlight w:val="none"/>
        </w:rPr>
        <w:t>.1</w:t>
      </w:r>
      <w:r>
        <w:rPr>
          <w:rFonts w:hint="eastAsia" w:ascii="宋体" w:hAnsi="宋体" w:eastAsia="宋体" w:cs="宋体"/>
          <w:b/>
          <w:bCs/>
          <w:color w:val="auto"/>
          <w:spacing w:val="7"/>
          <w:sz w:val="28"/>
          <w:szCs w:val="28"/>
          <w:highlight w:val="none"/>
        </w:rPr>
        <w:t xml:space="preserve">  </w:t>
      </w:r>
      <w:r>
        <w:rPr>
          <w:rFonts w:hint="eastAsia" w:ascii="宋体" w:hAnsi="宋体" w:eastAsia="宋体" w:cs="宋体"/>
          <w:b/>
          <w:bCs/>
          <w:color w:val="auto"/>
          <w:spacing w:val="-5"/>
          <w:sz w:val="28"/>
          <w:szCs w:val="28"/>
          <w:highlight w:val="none"/>
        </w:rPr>
        <w:t>一般规定</w:t>
      </w:r>
      <w:bookmarkEnd w:id="31"/>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default" w:ascii="Times New Roman" w:hAnsi="Times New Roman" w:eastAsia="宋体" w:cs="Times New Roman"/>
          <w:b/>
          <w:bCs/>
          <w:snapToGrid w:val="0"/>
          <w:color w:val="auto"/>
          <w:spacing w:val="-3"/>
          <w:kern w:val="0"/>
          <w:position w:val="17"/>
          <w:sz w:val="28"/>
          <w:szCs w:val="28"/>
          <w:highlight w:val="none"/>
          <w:lang w:val="en-US" w:eastAsia="zh-CN" w:bidi="ar-SA"/>
        </w:rPr>
        <w:t>8</w:t>
      </w:r>
      <w:r>
        <w:rPr>
          <w:rFonts w:hint="default" w:ascii="Times New Roman" w:hAnsi="Times New Roman" w:eastAsia="宋体" w:cs="Times New Roman"/>
          <w:b/>
          <w:bCs/>
          <w:snapToGrid w:val="0"/>
          <w:color w:val="auto"/>
          <w:spacing w:val="-3"/>
          <w:kern w:val="0"/>
          <w:position w:val="17"/>
          <w:sz w:val="28"/>
          <w:szCs w:val="28"/>
          <w:highlight w:val="none"/>
          <w:lang w:val="en-US" w:eastAsia="en-US" w:bidi="ar-SA"/>
        </w:rPr>
        <w:t>.1.1</w:t>
      </w:r>
      <w:r>
        <w:rPr>
          <w:rFonts w:hint="eastAsia" w:ascii="宋体" w:hAnsi="宋体" w:eastAsia="宋体" w:cs="宋体"/>
          <w:b/>
          <w:bCs/>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评价范围应涵盖施工合同中约定的所有建设内容，原则上不予甩项。</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en-US" w:bidi="ar-SA"/>
        </w:r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8</w:t>
      </w: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 xml:space="preserve">.1.2 </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zh-CN" w:bidi="ar-SA"/>
        </w:rPr>
        <w:t>应用项目</w:t>
      </w:r>
      <w:r>
        <w:rPr>
          <w:rFonts w:hint="eastAsia" w:ascii="宋体" w:hAnsi="宋体" w:eastAsia="宋体" w:cs="宋体"/>
          <w:snapToGrid w:val="0"/>
          <w:color w:val="auto"/>
          <w:spacing w:val="-3"/>
          <w:kern w:val="0"/>
          <w:position w:val="17"/>
          <w:sz w:val="28"/>
          <w:szCs w:val="28"/>
          <w:highlight w:val="none"/>
          <w:lang w:val="en-US" w:eastAsia="en-US" w:bidi="ar-SA"/>
        </w:rPr>
        <w:t>评价工作</w:t>
      </w:r>
      <w:r>
        <w:rPr>
          <w:rFonts w:hint="eastAsia" w:ascii="宋体" w:hAnsi="宋体" w:eastAsia="宋体" w:cs="宋体"/>
          <w:snapToGrid w:val="0"/>
          <w:color w:val="auto"/>
          <w:spacing w:val="-3"/>
          <w:kern w:val="0"/>
          <w:position w:val="17"/>
          <w:sz w:val="28"/>
          <w:szCs w:val="28"/>
          <w:highlight w:val="none"/>
          <w:lang w:val="en-US" w:eastAsia="zh-CN" w:bidi="ar-SA"/>
        </w:rPr>
        <w:t>以</w:t>
      </w:r>
      <w:r>
        <w:rPr>
          <w:rFonts w:hint="eastAsia" w:ascii="宋体" w:hAnsi="宋体" w:eastAsia="宋体" w:cs="宋体"/>
          <w:snapToGrid w:val="0"/>
          <w:color w:val="auto"/>
          <w:spacing w:val="-3"/>
          <w:kern w:val="0"/>
          <w:position w:val="17"/>
          <w:sz w:val="28"/>
          <w:szCs w:val="28"/>
          <w:highlight w:val="none"/>
          <w:lang w:val="en-US" w:eastAsia="en-US" w:bidi="ar-SA"/>
        </w:rPr>
        <w:t>验收评价</w:t>
      </w:r>
      <w:r>
        <w:rPr>
          <w:rFonts w:hint="eastAsia" w:ascii="宋体" w:hAnsi="宋体" w:eastAsia="宋体" w:cs="宋体"/>
          <w:snapToGrid w:val="0"/>
          <w:color w:val="auto"/>
          <w:spacing w:val="-3"/>
          <w:kern w:val="0"/>
          <w:position w:val="17"/>
          <w:sz w:val="28"/>
          <w:szCs w:val="28"/>
          <w:highlight w:val="none"/>
          <w:lang w:val="en-US" w:eastAsia="zh-CN" w:bidi="ar-SA"/>
        </w:rPr>
        <w:t>为主</w:t>
      </w:r>
      <w:r>
        <w:rPr>
          <w:rFonts w:hint="eastAsia" w:ascii="宋体" w:hAnsi="宋体" w:eastAsia="宋体" w:cs="宋体"/>
          <w:snapToGrid w:val="0"/>
          <w:color w:val="auto"/>
          <w:spacing w:val="-3"/>
          <w:kern w:val="0"/>
          <w:position w:val="17"/>
          <w:sz w:val="28"/>
          <w:szCs w:val="28"/>
          <w:highlight w:val="none"/>
          <w:lang w:val="en-US" w:eastAsia="en-US" w:bidi="ar-SA"/>
        </w:rPr>
        <w:t>。</w:t>
      </w:r>
    </w:p>
    <w:p>
      <w:pPr>
        <w:keepNext w:val="0"/>
        <w:keepLines w:val="0"/>
        <w:pageBreakBefore w:val="0"/>
        <w:widowControl/>
        <w:kinsoku/>
        <w:wordWrap/>
        <w:overflowPunct/>
        <w:topLinePunct w:val="0"/>
        <w:autoSpaceDE w:val="0"/>
        <w:autoSpaceDN w:val="0"/>
        <w:bidi w:val="0"/>
        <w:adjustRightInd w:val="0"/>
        <w:snapToGrid w:val="0"/>
        <w:spacing w:before="78" w:line="360" w:lineRule="auto"/>
        <w:ind w:left="5" w:right="2" w:hanging="5"/>
        <w:jc w:val="both"/>
        <w:textAlignment w:val="baseline"/>
        <w:rPr>
          <w:rFonts w:hint="eastAsia" w:ascii="宋体" w:hAnsi="宋体" w:eastAsia="宋体" w:cs="宋体"/>
          <w:snapToGrid w:val="0"/>
          <w:color w:val="auto"/>
          <w:spacing w:val="-3"/>
          <w:kern w:val="0"/>
          <w:position w:val="17"/>
          <w:sz w:val="28"/>
          <w:szCs w:val="28"/>
          <w:highlight w:val="none"/>
          <w:lang w:val="en-US" w:eastAsia="zh-CN" w:bidi="ar-SA"/>
        </w:rPr>
        <w:sectPr>
          <w:footerReference r:id="rId9" w:type="default"/>
          <w:pgSz w:w="11906" w:h="16839"/>
          <w:pgMar w:top="1431" w:right="1414" w:bottom="1858" w:left="1596" w:header="0" w:footer="1692" w:gutter="0"/>
          <w:cols w:space="720" w:num="1"/>
        </w:sectPr>
      </w:pP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8</w:t>
      </w: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.1.3</w:t>
      </w:r>
      <w:r>
        <w:rPr>
          <w:rFonts w:hint="eastAsia" w:ascii="Times New Roman" w:hAnsi="Times New Roman" w:eastAsia="宋体" w:cs="Times New Roman"/>
          <w:b/>
          <w:bCs/>
          <w:snapToGrid w:val="0"/>
          <w:color w:val="auto"/>
          <w:spacing w:val="-3"/>
          <w:kern w:val="0"/>
          <w:position w:val="17"/>
          <w:sz w:val="28"/>
          <w:szCs w:val="28"/>
          <w:highlight w:val="none"/>
          <w:lang w:val="en-US" w:eastAsia="zh-CN" w:bidi="ar-SA"/>
        </w:rPr>
        <w:t xml:space="preserve">   </w:t>
      </w:r>
      <w:r>
        <w:rPr>
          <w:rFonts w:hint="eastAsia" w:ascii="Times New Roman" w:hAnsi="Times New Roman" w:eastAsia="宋体" w:cs="Times New Roman"/>
          <w:b/>
          <w:bCs/>
          <w:snapToGrid w:val="0"/>
          <w:color w:val="auto"/>
          <w:spacing w:val="-3"/>
          <w:kern w:val="0"/>
          <w:position w:val="17"/>
          <w:sz w:val="28"/>
          <w:szCs w:val="28"/>
          <w:highlight w:val="none"/>
          <w:lang w:val="en-US" w:eastAsia="en-US" w:bidi="ar-SA"/>
        </w:rPr>
        <w:t xml:space="preserve"> </w:t>
      </w:r>
      <w:r>
        <w:rPr>
          <w:rFonts w:hint="eastAsia" w:ascii="宋体" w:hAnsi="宋体" w:eastAsia="宋体" w:cs="宋体"/>
          <w:snapToGrid w:val="0"/>
          <w:color w:val="auto"/>
          <w:spacing w:val="-3"/>
          <w:kern w:val="0"/>
          <w:position w:val="17"/>
          <w:sz w:val="28"/>
          <w:szCs w:val="28"/>
          <w:highlight w:val="none"/>
          <w:lang w:val="en-US" w:eastAsia="en-US" w:bidi="ar-SA"/>
        </w:rPr>
        <w:t xml:space="preserve"> 鼓励建设单位会同设计、施工、节能</w:t>
      </w:r>
      <w:r>
        <w:rPr>
          <w:rFonts w:hint="eastAsia" w:ascii="宋体" w:hAnsi="宋体" w:eastAsia="宋体" w:cs="宋体"/>
          <w:snapToGrid w:val="0"/>
          <w:color w:val="auto"/>
          <w:spacing w:val="-3"/>
          <w:kern w:val="0"/>
          <w:position w:val="17"/>
          <w:sz w:val="28"/>
          <w:szCs w:val="28"/>
          <w:highlight w:val="none"/>
          <w:lang w:val="en-US" w:eastAsia="zh-CN" w:bidi="ar-SA"/>
        </w:rPr>
        <w:t>评价</w:t>
      </w:r>
      <w:r>
        <w:rPr>
          <w:rFonts w:hint="eastAsia" w:ascii="宋体" w:hAnsi="宋体" w:eastAsia="宋体" w:cs="宋体"/>
          <w:snapToGrid w:val="0"/>
          <w:color w:val="auto"/>
          <w:spacing w:val="-3"/>
          <w:kern w:val="0"/>
          <w:position w:val="17"/>
          <w:sz w:val="28"/>
          <w:szCs w:val="28"/>
          <w:highlight w:val="none"/>
          <w:lang w:val="en-US" w:eastAsia="en-US" w:bidi="ar-SA"/>
        </w:rPr>
        <w:t>及绿建咨询等单位在竣工验收后申报绿色建筑评价标识。</w:t>
      </w:r>
      <w:bookmarkStart w:id="32" w:name="bookmark18"/>
      <w:bookmarkEnd w:id="32"/>
    </w:p>
    <w:p>
      <w:pPr>
        <w:keepNext w:val="0"/>
        <w:keepLines w:val="0"/>
        <w:pageBreakBefore w:val="0"/>
        <w:kinsoku/>
        <w:overflowPunct/>
        <w:topLinePunct w:val="0"/>
        <w:bidi w:val="0"/>
        <w:spacing w:before="140" w:line="222" w:lineRule="auto"/>
        <w:jc w:val="both"/>
        <w:outlineLvl w:val="0"/>
        <w:rPr>
          <w:rFonts w:hint="eastAsia" w:ascii="宋体" w:hAnsi="宋体" w:eastAsia="宋体" w:cs="宋体"/>
          <w:b/>
          <w:bCs/>
          <w:color w:val="auto"/>
          <w:spacing w:val="3"/>
          <w:sz w:val="43"/>
          <w:szCs w:val="43"/>
          <w:highlight w:val="none"/>
          <w:lang w:eastAsia="zh-CN"/>
        </w:rPr>
      </w:pPr>
      <w:bookmarkStart w:id="33" w:name="bookmark19"/>
      <w:bookmarkEnd w:id="33"/>
      <w:bookmarkStart w:id="34" w:name="bookmark20"/>
      <w:bookmarkEnd w:id="34"/>
      <w:bookmarkStart w:id="35" w:name="bookmark10"/>
      <w:bookmarkEnd w:id="35"/>
      <w:bookmarkStart w:id="36" w:name="_Toc1173"/>
      <w:r>
        <w:rPr>
          <w:rFonts w:ascii="宋体" w:hAnsi="宋体" w:eastAsia="宋体" w:cs="宋体"/>
          <w:b/>
          <w:bCs/>
          <w:color w:val="auto"/>
          <w:spacing w:val="3"/>
          <w:sz w:val="43"/>
          <w:szCs w:val="43"/>
          <w:highlight w:val="none"/>
        </w:rPr>
        <w:t>附录</w:t>
      </w:r>
      <w:r>
        <w:rPr>
          <w:rFonts w:ascii="宋体" w:hAnsi="宋体" w:eastAsia="宋体" w:cs="宋体"/>
          <w:color w:val="auto"/>
          <w:spacing w:val="-89"/>
          <w:sz w:val="43"/>
          <w:szCs w:val="43"/>
          <w:highlight w:val="none"/>
        </w:rPr>
        <w:t xml:space="preserve"> </w:t>
      </w:r>
      <w:r>
        <w:rPr>
          <w:rFonts w:ascii="Times New Roman" w:hAnsi="Times New Roman" w:eastAsia="Times New Roman" w:cs="Times New Roman"/>
          <w:b/>
          <w:bCs/>
          <w:color w:val="auto"/>
          <w:spacing w:val="3"/>
          <w:sz w:val="43"/>
          <w:szCs w:val="43"/>
          <w:highlight w:val="none"/>
        </w:rPr>
        <w:t>A</w:t>
      </w:r>
      <w:r>
        <w:rPr>
          <w:rFonts w:ascii="宋体" w:hAnsi="宋体" w:eastAsia="宋体" w:cs="宋体"/>
          <w:b/>
          <w:bCs/>
          <w:color w:val="auto"/>
          <w:spacing w:val="3"/>
          <w:sz w:val="43"/>
          <w:szCs w:val="43"/>
          <w:highlight w:val="none"/>
        </w:rPr>
        <w:t>：</w:t>
      </w:r>
      <w:r>
        <w:rPr>
          <w:rFonts w:hint="eastAsia" w:ascii="宋体" w:hAnsi="宋体" w:eastAsia="宋体" w:cs="宋体"/>
          <w:b/>
          <w:bCs/>
          <w:color w:val="auto"/>
          <w:spacing w:val="3"/>
          <w:sz w:val="43"/>
          <w:szCs w:val="43"/>
          <w:highlight w:val="none"/>
          <w:lang w:eastAsia="zh-CN"/>
        </w:rPr>
        <w:t>应用项目施工图设计</w:t>
      </w:r>
      <w:bookmarkEnd w:id="36"/>
      <w:r>
        <w:rPr>
          <w:rFonts w:hint="eastAsia" w:ascii="宋体" w:hAnsi="宋体" w:eastAsia="宋体" w:cs="宋体"/>
          <w:b/>
          <w:bCs/>
          <w:color w:val="auto"/>
          <w:spacing w:val="3"/>
          <w:sz w:val="43"/>
          <w:szCs w:val="43"/>
          <w:highlight w:val="none"/>
          <w:lang w:eastAsia="zh-CN"/>
        </w:rPr>
        <w:t>绿色建材应用比例计算表</w:t>
      </w:r>
    </w:p>
    <w:tbl>
      <w:tblPr>
        <w:tblStyle w:val="12"/>
        <w:tblW w:w="141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71"/>
        <w:gridCol w:w="540"/>
        <w:gridCol w:w="2512"/>
        <w:gridCol w:w="1982"/>
        <w:gridCol w:w="1097"/>
        <w:gridCol w:w="511"/>
        <w:gridCol w:w="1407"/>
        <w:gridCol w:w="1405"/>
        <w:gridCol w:w="1194"/>
        <w:gridCol w:w="24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rPr>
        <w:tc>
          <w:tcPr>
            <w:tcW w:w="4023" w:type="dxa"/>
            <w:gridSpan w:val="3"/>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计算指标</w:t>
            </w:r>
          </w:p>
        </w:tc>
        <w:tc>
          <w:tcPr>
            <w:tcW w:w="1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应用选择项及比例要求</w:t>
            </w:r>
          </w:p>
        </w:tc>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是否绿色建材≥80%</w:t>
            </w:r>
          </w:p>
        </w:tc>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二级指标分值</w:t>
            </w:r>
          </w:p>
        </w:tc>
        <w:tc>
          <w:tcPr>
            <w:tcW w:w="1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是否不参评</w:t>
            </w:r>
          </w:p>
        </w:tc>
        <w:tc>
          <w:tcPr>
            <w:tcW w:w="14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实际得分</w:t>
            </w: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snapToGrid w:val="0"/>
                <w:color w:val="auto"/>
                <w:kern w:val="0"/>
                <w:sz w:val="21"/>
                <w:szCs w:val="21"/>
                <w:u w:val="none"/>
                <w:lang w:val="en-US" w:eastAsia="zh-CN" w:bidi="ar"/>
              </w:rPr>
            </w:pPr>
            <w:r>
              <w:rPr>
                <w:rFonts w:hint="eastAsia" w:ascii="宋体" w:hAnsi="宋体" w:eastAsia="宋体" w:cs="宋体"/>
                <w:b/>
                <w:i w:val="0"/>
                <w:snapToGrid w:val="0"/>
                <w:color w:val="auto"/>
                <w:kern w:val="0"/>
                <w:sz w:val="21"/>
                <w:szCs w:val="21"/>
                <w:u w:val="none"/>
                <w:lang w:val="en-US" w:eastAsia="zh-CN" w:bidi="ar"/>
              </w:rPr>
              <w:t>计算</w:t>
            </w:r>
          </w:p>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方式</w:t>
            </w:r>
          </w:p>
        </w:tc>
        <w:tc>
          <w:tcPr>
            <w:tcW w:w="2498"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一级指标</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序号</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二级指标</w:t>
            </w:r>
          </w:p>
        </w:tc>
        <w:tc>
          <w:tcPr>
            <w:tcW w:w="1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c>
          <w:tcPr>
            <w:tcW w:w="1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c>
          <w:tcPr>
            <w:tcW w:w="14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主体及围护结构工程用材Q1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预拌混凝土</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砖混结构及装配式混凝土结构必选,≥80%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color w:val="auto"/>
                <w:sz w:val="21"/>
                <w:szCs w:val="21"/>
                <w:u w:val="none"/>
                <w:lang w:eastAsia="zh-CN"/>
              </w:rPr>
              <w:t>（填</w:t>
            </w:r>
            <w:r>
              <w:rPr>
                <w:rFonts w:hint="eastAsia" w:ascii="宋体" w:hAnsi="宋体" w:eastAsia="宋体" w:cs="宋体"/>
                <w:i w:val="0"/>
                <w:snapToGrid w:val="0"/>
                <w:color w:val="auto"/>
                <w:kern w:val="0"/>
                <w:sz w:val="21"/>
                <w:szCs w:val="21"/>
                <w:u w:val="none"/>
                <w:lang w:val="en-US" w:eastAsia="zh-CN" w:bidi="ar"/>
              </w:rPr>
              <w:t>写</w:t>
            </w:r>
            <w:r>
              <w:rPr>
                <w:rFonts w:hint="eastAsia" w:ascii="宋体" w:hAnsi="宋体" w:eastAsia="宋体" w:cs="宋体"/>
                <w:i w:val="0"/>
                <w:color w:val="auto"/>
                <w:sz w:val="21"/>
                <w:szCs w:val="21"/>
                <w:u w:val="none"/>
                <w:lang w:eastAsia="zh-CN"/>
              </w:rPr>
              <w:t>“是”或“否”，同列各项</w:t>
            </w:r>
            <w:r>
              <w:rPr>
                <w:rFonts w:hint="eastAsia" w:ascii="宋体" w:hAnsi="宋体" w:eastAsia="宋体" w:cs="宋体"/>
                <w:i w:val="0"/>
                <w:snapToGrid w:val="0"/>
                <w:color w:val="auto"/>
                <w:kern w:val="0"/>
                <w:sz w:val="21"/>
                <w:szCs w:val="21"/>
                <w:u w:val="none"/>
                <w:lang w:val="en-US" w:eastAsia="zh-CN" w:bidi="ar"/>
              </w:rPr>
              <w:t>填写规则相同</w:t>
            </w:r>
            <w:r>
              <w:rPr>
                <w:rFonts w:hint="eastAsia" w:ascii="宋体" w:hAnsi="宋体" w:eastAsia="宋体" w:cs="宋体"/>
                <w:i w:val="0"/>
                <w:color w:val="auto"/>
                <w:sz w:val="21"/>
                <w:szCs w:val="21"/>
                <w:u w:val="none"/>
                <w:lang w:eastAsia="zh-CN"/>
              </w:rPr>
              <w:t>）</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（本项参评填“-”不参评填“○”，同列各项填写规则相同）</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（填写本二级指标实际得分，同列各项填写规则相同）</w:t>
            </w: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Q1共10个二级指标，小计45分，二级指标不参评项分值计入Q5。</w:t>
            </w:r>
          </w:p>
        </w:tc>
        <w:tc>
          <w:tcPr>
            <w:tcW w:w="2498"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其他土建材料包含但不限于以下材料</w:t>
            </w:r>
            <w:r>
              <w:rPr>
                <w:rStyle w:val="19"/>
                <w:rFonts w:hint="eastAsia" w:ascii="宋体" w:hAnsi="宋体" w:eastAsia="宋体" w:cs="宋体"/>
                <w:snapToGrid w:val="0"/>
                <w:color w:val="auto"/>
                <w:sz w:val="21"/>
                <w:szCs w:val="21"/>
                <w:u w:val="none"/>
                <w:lang w:val="en-US" w:eastAsia="zh-CN" w:bidi="ar"/>
              </w:rPr>
              <w:t>：轻钢龙骨、遮阳制品、集成房屋、结构修复材料、施工辅助机具及产品、厂拌沥青、固废再生材料及其制品等，</w:t>
            </w:r>
            <w:r>
              <w:rPr>
                <w:rStyle w:val="20"/>
                <w:rFonts w:hint="eastAsia" w:ascii="宋体" w:hAnsi="宋体" w:eastAsia="宋体" w:cs="宋体"/>
                <w:snapToGrid w:val="0"/>
                <w:color w:val="auto"/>
                <w:sz w:val="21"/>
                <w:szCs w:val="21"/>
                <w:u w:val="none"/>
                <w:lang w:val="en-US" w:eastAsia="zh-CN" w:bidi="ar"/>
              </w:rPr>
              <w:t>每项2分，最多得4分。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2</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混凝土结构构件、钢结构构件、现代木结构用材</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装配式混凝土结构建筑、钢结构建筑、木结构建筑必选,≥80%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3</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预拌砂浆</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砌体材料（含内外墙）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5</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防水密封材料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6</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保温隔热材料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7</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节能外门窗/透光幕墙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8</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非透光幕墙、外墙板</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3</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9</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钢筋及连接件</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10</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其它土建材料</w:t>
            </w:r>
            <w:r>
              <w:rPr>
                <w:rFonts w:hint="eastAsia" w:ascii="宋体" w:hAnsi="宋体" w:eastAsia="宋体" w:cs="宋体"/>
                <w:i w:val="0"/>
                <w:snapToGrid w:val="0"/>
                <w:color w:val="auto"/>
                <w:kern w:val="0"/>
                <w:sz w:val="21"/>
                <w:szCs w:val="21"/>
                <w:u w:val="none"/>
                <w:lang w:val="en-US" w:eastAsia="zh-CN" w:bidi="ar"/>
              </w:rPr>
              <w:br w:type="textWrapping"/>
            </w:r>
            <w:r>
              <w:rPr>
                <w:rFonts w:hint="eastAsia" w:ascii="宋体" w:hAnsi="宋体" w:eastAsia="宋体" w:cs="宋体"/>
                <w:i w:val="0"/>
                <w:snapToGrid w:val="0"/>
                <w:color w:val="auto"/>
                <w:kern w:val="0"/>
                <w:sz w:val="21"/>
                <w:szCs w:val="21"/>
                <w:u w:val="none"/>
                <w:lang w:val="en-US" w:eastAsia="zh-CN" w:bidi="ar"/>
              </w:rPr>
              <w:t>（从备注内选择）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Q1总分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（填写Q1实际总得分）</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装饰装修工程用材Q2</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吊顶</w:t>
            </w:r>
            <w:r>
              <w:rPr>
                <w:rFonts w:hint="eastAsia" w:ascii="宋体" w:hAnsi="宋体" w:cs="宋体"/>
                <w:i w:val="0"/>
                <w:snapToGrid w:val="0"/>
                <w:color w:val="auto"/>
                <w:kern w:val="0"/>
                <w:sz w:val="21"/>
                <w:szCs w:val="21"/>
                <w:u w:val="none"/>
                <w:lang w:val="en-US" w:eastAsia="zh-CN" w:bidi="ar"/>
              </w:rPr>
              <w:t>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Q2共10个二级指标，小计35分，二级指标不参评项分值计入Q5。</w:t>
            </w:r>
          </w:p>
        </w:tc>
        <w:tc>
          <w:tcPr>
            <w:tcW w:w="2498"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其他装饰材料包含但不限于以下材料</w:t>
            </w:r>
            <w:r>
              <w:rPr>
                <w:rStyle w:val="19"/>
                <w:rFonts w:hint="eastAsia" w:ascii="宋体" w:hAnsi="宋体" w:eastAsia="宋体" w:cs="宋体"/>
                <w:snapToGrid w:val="0"/>
                <w:color w:val="auto"/>
                <w:sz w:val="21"/>
                <w:szCs w:val="21"/>
                <w:u w:val="none"/>
                <w:lang w:val="en-US" w:eastAsia="zh-CN" w:bidi="ar"/>
              </w:rPr>
              <w:t>：</w:t>
            </w:r>
            <w:r>
              <w:rPr>
                <w:rStyle w:val="20"/>
                <w:rFonts w:hint="eastAsia" w:ascii="宋体" w:hAnsi="宋体" w:eastAsia="宋体" w:cs="宋体"/>
                <w:snapToGrid w:val="0"/>
                <w:color w:val="auto"/>
                <w:sz w:val="21"/>
                <w:szCs w:val="21"/>
                <w:u w:val="none"/>
                <w:lang w:val="en-US" w:eastAsia="zh-CN" w:bidi="ar"/>
              </w:rPr>
              <w:t>抗菌净化材料、装配式集成墙面、整体橱柜、环保型壁纸（布）、装修装饰用木制品、装修装饰用金属制品、装修装饰用石材、其他建筑装饰板、建筑陶瓷制品等，每项1.5分，最多得3分。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2</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楼地面、屋面装饰材料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3</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室内涂料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外墙装饰材料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5</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建筑内隔墙板</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装配式建筑必选,≥80%</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3.5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6</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石膏装饰材料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7</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建筑内门窗</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3</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8</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电气照明</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3.5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9</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卫生洁具</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3.5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10</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其它装饰材料</w:t>
            </w:r>
            <w:r>
              <w:rPr>
                <w:rFonts w:hint="eastAsia" w:ascii="宋体" w:hAnsi="宋体" w:eastAsia="宋体" w:cs="宋体"/>
                <w:i w:val="0"/>
                <w:snapToGrid w:val="0"/>
                <w:color w:val="auto"/>
                <w:kern w:val="0"/>
                <w:sz w:val="21"/>
                <w:szCs w:val="21"/>
                <w:u w:val="none"/>
                <w:lang w:val="en-US" w:eastAsia="zh-CN" w:bidi="ar"/>
              </w:rPr>
              <w:br w:type="textWrapping"/>
            </w:r>
            <w:r>
              <w:rPr>
                <w:rFonts w:hint="eastAsia" w:ascii="宋体" w:hAnsi="宋体" w:eastAsia="宋体" w:cs="宋体"/>
                <w:i w:val="0"/>
                <w:snapToGrid w:val="0"/>
                <w:color w:val="auto"/>
                <w:kern w:val="0"/>
                <w:sz w:val="21"/>
                <w:szCs w:val="21"/>
                <w:u w:val="none"/>
                <w:lang w:val="en-US" w:eastAsia="zh-CN" w:bidi="ar"/>
              </w:rPr>
              <w:t>（从备注内选择）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3</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Q2总分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35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（填写Q2实际总得分）</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机电安装工程用材Q3</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给排水管材管件阀门</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Q3共10个二级指标，小计</w:t>
            </w:r>
            <w:r>
              <w:rPr>
                <w:rFonts w:hint="eastAsia" w:ascii="宋体" w:hAnsi="宋体" w:eastAsia="宋体" w:cs="宋体"/>
                <w:color w:val="auto"/>
                <w:sz w:val="21"/>
                <w:szCs w:val="21"/>
                <w:u w:val="none"/>
                <w:bdr w:val="single" w:sz="4" w:space="0"/>
                <w:lang w:val="en-US" w:eastAsia="zh-CN"/>
              </w:rPr>
              <w:t>20</w:t>
            </w:r>
            <w:r>
              <w:rPr>
                <w:rFonts w:hint="eastAsia" w:ascii="宋体" w:hAnsi="宋体" w:eastAsia="宋体" w:cs="宋体"/>
                <w:i w:val="0"/>
                <w:snapToGrid w:val="0"/>
                <w:color w:val="auto"/>
                <w:kern w:val="0"/>
                <w:sz w:val="21"/>
                <w:szCs w:val="21"/>
                <w:u w:val="none"/>
                <w:lang w:val="en-US" w:eastAsia="zh-CN" w:bidi="ar"/>
              </w:rPr>
              <w:t xml:space="preserve"> 15分，二级指标不参评项分值计入Q5。</w:t>
            </w:r>
          </w:p>
        </w:tc>
        <w:tc>
          <w:tcPr>
            <w:tcW w:w="2498"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其他机电材料包含但不限于以下材料</w:t>
            </w:r>
            <w:r>
              <w:rPr>
                <w:rStyle w:val="19"/>
                <w:rFonts w:hint="eastAsia" w:ascii="宋体" w:hAnsi="宋体" w:eastAsia="宋体" w:cs="宋体"/>
                <w:snapToGrid w:val="0"/>
                <w:color w:val="auto"/>
                <w:sz w:val="21"/>
                <w:szCs w:val="21"/>
                <w:u w:val="none"/>
                <w:lang w:val="en-US" w:eastAsia="zh-CN" w:bidi="ar"/>
              </w:rPr>
              <w:t>：其他采光系统产品、光伏发电系统、控制计量系统、辐射供暖设备及系统、蓄能材料及其装置、热交换器、风管用保温管（板）等，每项1分，最多得2分。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2</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水处理设备/二次供水设备</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3</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高低压配电柜</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4</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母线槽、电线电缆</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5</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lang w:eastAsia="zh-CN"/>
              </w:rPr>
            </w:pPr>
            <w:r>
              <w:rPr>
                <w:rFonts w:hint="eastAsia" w:ascii="宋体" w:hAnsi="宋体" w:cs="宋体"/>
                <w:i w:val="0"/>
                <w:color w:val="auto"/>
                <w:sz w:val="21"/>
                <w:szCs w:val="21"/>
                <w:u w:val="none"/>
                <w:lang w:eastAsia="zh-CN"/>
              </w:rPr>
              <w:t>充电桩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6</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智能电梯及传输系统</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7</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冷热源设备、空调新风设备</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8</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风机盘管、保温复核风管、防火排烟风管</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9</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设备隔振降噪装置</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10</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其他机电材料</w:t>
            </w:r>
            <w:r>
              <w:rPr>
                <w:rFonts w:hint="eastAsia" w:ascii="宋体" w:hAnsi="宋体" w:eastAsia="宋体" w:cs="宋体"/>
                <w:i w:val="0"/>
                <w:snapToGrid w:val="0"/>
                <w:color w:val="auto"/>
                <w:kern w:val="0"/>
                <w:sz w:val="21"/>
                <w:szCs w:val="21"/>
                <w:u w:val="none"/>
                <w:lang w:val="en-US" w:eastAsia="zh-CN" w:bidi="ar"/>
              </w:rPr>
              <w:br w:type="textWrapping"/>
            </w:r>
            <w:r>
              <w:rPr>
                <w:rFonts w:hint="eastAsia" w:ascii="宋体" w:hAnsi="宋体" w:eastAsia="宋体" w:cs="宋体"/>
                <w:i w:val="0"/>
                <w:snapToGrid w:val="0"/>
                <w:color w:val="auto"/>
                <w:kern w:val="0"/>
                <w:sz w:val="21"/>
                <w:szCs w:val="21"/>
                <w:u w:val="none"/>
                <w:lang w:val="en-US" w:eastAsia="zh-CN" w:bidi="ar"/>
              </w:rPr>
              <w:t>（从备注内选择）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Q3总分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（填写Q3实际总得分）</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restart"/>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室外工程用材Q4</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透水铺装材料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 xml:space="preserve"> </w:t>
            </w:r>
          </w:p>
        </w:tc>
        <w:tc>
          <w:tcPr>
            <w:tcW w:w="11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Q7共3个二级指标，小计5分，二级指标不参评项分值计入Q5。</w:t>
            </w:r>
          </w:p>
        </w:tc>
        <w:tc>
          <w:tcPr>
            <w:tcW w:w="2498" w:type="dxa"/>
            <w:vMerge w:val="restart"/>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其他室外材料包含但不限于以下材料：</w:t>
            </w:r>
            <w:r>
              <w:rPr>
                <w:rStyle w:val="20"/>
                <w:rFonts w:hint="eastAsia" w:ascii="宋体" w:hAnsi="宋体" w:eastAsia="宋体" w:cs="宋体"/>
                <w:snapToGrid w:val="0"/>
                <w:color w:val="auto"/>
                <w:sz w:val="21"/>
                <w:szCs w:val="21"/>
                <w:u w:val="none"/>
                <w:lang w:val="en-US" w:eastAsia="zh-CN" w:bidi="ar"/>
              </w:rPr>
              <w:t>机械停车设备、雨水收集回用系统、建筑垃圾处置系统、园林用木竹材料、合成材料面层运动场地材料、渗管/渠、下沉式绿地材料、园林用石材等，每项</w:t>
            </w:r>
            <w:r>
              <w:rPr>
                <w:rFonts w:hint="eastAsia" w:ascii="宋体" w:hAnsi="宋体" w:eastAsia="宋体" w:cs="宋体"/>
                <w:i w:val="0"/>
                <w:snapToGrid w:val="0"/>
                <w:color w:val="auto"/>
                <w:kern w:val="0"/>
                <w:sz w:val="21"/>
                <w:szCs w:val="21"/>
                <w:u w:val="none"/>
                <w:lang w:val="en-US" w:eastAsia="zh-CN" w:bidi="ar"/>
              </w:rPr>
              <w:t>1</w:t>
            </w:r>
            <w:r>
              <w:rPr>
                <w:rStyle w:val="20"/>
                <w:rFonts w:hint="eastAsia" w:ascii="宋体" w:hAnsi="宋体" w:eastAsia="宋体" w:cs="宋体"/>
                <w:snapToGrid w:val="0"/>
                <w:color w:val="auto"/>
                <w:sz w:val="21"/>
                <w:szCs w:val="21"/>
                <w:u w:val="none"/>
                <w:lang w:val="en-US" w:eastAsia="zh-CN" w:bidi="ar"/>
              </w:rPr>
              <w:t>分，最多得</w:t>
            </w:r>
            <w:r>
              <w:rPr>
                <w:rFonts w:hint="eastAsia" w:ascii="宋体" w:hAnsi="宋体" w:eastAsia="宋体" w:cs="宋体"/>
                <w:i w:val="0"/>
                <w:snapToGrid w:val="0"/>
                <w:color w:val="auto"/>
                <w:kern w:val="0"/>
                <w:sz w:val="21"/>
                <w:szCs w:val="21"/>
                <w:u w:val="none"/>
                <w:lang w:val="en-US" w:eastAsia="zh-CN" w:bidi="ar"/>
              </w:rPr>
              <w:t>2</w:t>
            </w:r>
            <w:r>
              <w:rPr>
                <w:rStyle w:val="20"/>
                <w:rFonts w:hint="eastAsia" w:ascii="宋体" w:hAnsi="宋体" w:eastAsia="宋体" w:cs="宋体"/>
                <w:snapToGrid w:val="0"/>
                <w:color w:val="auto"/>
                <w:sz w:val="21"/>
                <w:szCs w:val="21"/>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2</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屋面（垂直）绿化材料</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1</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3</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其他室外材料</w:t>
            </w:r>
            <w:r>
              <w:rPr>
                <w:rFonts w:hint="eastAsia" w:ascii="宋体" w:hAnsi="宋体" w:eastAsia="宋体" w:cs="宋体"/>
                <w:i w:val="0"/>
                <w:snapToGrid w:val="0"/>
                <w:color w:val="auto"/>
                <w:kern w:val="0"/>
                <w:sz w:val="21"/>
                <w:szCs w:val="21"/>
                <w:u w:val="none"/>
                <w:lang w:val="en-US" w:eastAsia="zh-CN" w:bidi="ar"/>
              </w:rPr>
              <w:br w:type="textWrapping"/>
            </w:r>
            <w:r>
              <w:rPr>
                <w:rFonts w:hint="eastAsia" w:ascii="宋体" w:hAnsi="宋体" w:eastAsia="宋体" w:cs="宋体"/>
                <w:i w:val="0"/>
                <w:snapToGrid w:val="0"/>
                <w:color w:val="auto"/>
                <w:kern w:val="0"/>
                <w:sz w:val="21"/>
                <w:szCs w:val="21"/>
                <w:u w:val="none"/>
                <w:lang w:val="en-US" w:eastAsia="zh-CN" w:bidi="ar"/>
              </w:rPr>
              <w:t>（从备注内选择）</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可选</w:t>
            </w: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2</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p>
        </w:tc>
        <w:tc>
          <w:tcPr>
            <w:tcW w:w="11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vMerge w:val="continue"/>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Q4总分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5</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（填写Q4实际总得分）</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4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7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Q5总分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不参评项总和分值</w:t>
            </w:r>
          </w:p>
        </w:tc>
        <w:tc>
          <w:tcPr>
            <w:tcW w:w="19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（填写所有不参评项对应二级指标的总分值）</w:t>
            </w:r>
          </w:p>
        </w:tc>
        <w:tc>
          <w:tcPr>
            <w:tcW w:w="3692" w:type="dxa"/>
            <w:gridSpan w:val="2"/>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项目工程内不含的二级指标。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4023" w:type="dxa"/>
            <w:gridSpan w:val="3"/>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绿色建材应用比例P</w:t>
            </w:r>
          </w:p>
        </w:tc>
        <w:tc>
          <w:tcPr>
            <w:tcW w:w="1982"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必选项如参评应达到80%应用比例</w:t>
            </w:r>
          </w:p>
        </w:tc>
        <w:tc>
          <w:tcPr>
            <w:tcW w:w="1608" w:type="dxa"/>
            <w:gridSpan w:val="2"/>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b/>
                <w:i w:val="0"/>
                <w:color w:val="auto"/>
                <w:sz w:val="21"/>
                <w:szCs w:val="21"/>
                <w:u w:val="none"/>
              </w:rPr>
            </w:pPr>
          </w:p>
        </w:tc>
        <w:tc>
          <w:tcPr>
            <w:tcW w:w="2812" w:type="dxa"/>
            <w:gridSpan w:val="2"/>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val="0"/>
              <w:autoSpaceDN w:val="0"/>
              <w:bidi w:val="0"/>
              <w:spacing w:line="240" w:lineRule="auto"/>
              <w:jc w:val="left"/>
              <w:textAlignment w:val="center"/>
              <w:rPr>
                <w:rFonts w:hint="eastAsia" w:ascii="宋体" w:hAnsi="宋体" w:eastAsia="宋体" w:cs="宋体"/>
                <w:b/>
                <w:i w:val="0"/>
                <w:color w:val="auto"/>
                <w:sz w:val="21"/>
                <w:szCs w:val="21"/>
                <w:u w:val="none"/>
              </w:rPr>
            </w:pPr>
            <w:r>
              <w:rPr>
                <w:rFonts w:hint="eastAsia" w:ascii="宋体" w:hAnsi="宋体" w:eastAsia="宋体" w:cs="宋体"/>
                <w:b/>
                <w:i w:val="0"/>
                <w:snapToGrid w:val="0"/>
                <w:color w:val="auto"/>
                <w:kern w:val="0"/>
                <w:sz w:val="21"/>
                <w:szCs w:val="21"/>
                <w:u w:val="none"/>
                <w:lang w:val="en-US" w:eastAsia="zh-CN" w:bidi="ar"/>
              </w:rPr>
              <w:t>（填写最终比例计算结果）</w:t>
            </w:r>
          </w:p>
        </w:tc>
        <w:tc>
          <w:tcPr>
            <w:tcW w:w="3692" w:type="dxa"/>
            <w:gridSpan w:val="2"/>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pageBreakBefore w:val="0"/>
              <w:kinsoku/>
              <w:wordWrap/>
              <w:overflowPunct/>
              <w:topLinePunct w:val="0"/>
              <w:autoSpaceDE w:val="0"/>
              <w:autoSpaceDN w:val="0"/>
              <w:bidi w:val="0"/>
              <w:spacing w:line="240" w:lineRule="auto"/>
              <w:jc w:val="left"/>
              <w:rPr>
                <w:rFonts w:hint="eastAsia" w:ascii="宋体" w:hAnsi="宋体" w:eastAsia="宋体" w:cs="宋体"/>
                <w:i w:val="0"/>
                <w:color w:val="auto"/>
                <w:sz w:val="21"/>
                <w:szCs w:val="21"/>
                <w:u w:val="none"/>
              </w:rPr>
            </w:pPr>
            <w:r>
              <w:rPr>
                <w:rFonts w:hint="eastAsia" w:ascii="宋体" w:hAnsi="宋体" w:eastAsia="宋体" w:cs="宋体"/>
                <w:i w:val="0"/>
                <w:snapToGrid w:val="0"/>
                <w:color w:val="auto"/>
                <w:kern w:val="0"/>
                <w:sz w:val="21"/>
                <w:szCs w:val="21"/>
                <w:u w:val="none"/>
                <w:lang w:val="en-US" w:eastAsia="zh-CN" w:bidi="ar"/>
              </w:rPr>
              <w:t>计算方法：P=(Q1+Q2+Q3+Q4)/（100-Q5）*100%</w:t>
            </w:r>
          </w:p>
        </w:tc>
      </w:tr>
    </w:tbl>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color w:val="auto"/>
          <w:lang w:eastAsia="zh-CN"/>
        </w:rPr>
        <w:t>注：</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color w:val="auto"/>
          <w:lang w:eastAsia="zh-CN"/>
        </w:rPr>
        <w:t>1 按《福州市绿色建材应用比例计算技术细则》表 3.2 的要求，分别计算4类核算指标绿色建材应用比例计算分值；</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lang w:eastAsia="zh-CN"/>
        </w:rPr>
      </w:pPr>
      <w:r>
        <w:rPr>
          <w:rFonts w:hint="eastAsia" w:ascii="宋体" w:hAnsi="宋体" w:eastAsia="宋体" w:cs="宋体"/>
          <w:color w:val="auto"/>
          <w:lang w:eastAsia="zh-CN"/>
        </w:rPr>
        <w:t>2 当某项目为多栋建筑构成，按栋的编号分别列出；</w:t>
      </w:r>
    </w:p>
    <w:p>
      <w:pPr>
        <w:keepNext w:val="0"/>
        <w:keepLines w:val="0"/>
        <w:pageBreakBefore w:val="0"/>
        <w:kinsoku/>
        <w:wordWrap/>
        <w:overflowPunct/>
        <w:topLinePunct w:val="0"/>
        <w:autoSpaceDE w:val="0"/>
        <w:autoSpaceDN w:val="0"/>
        <w:bidi w:val="0"/>
        <w:jc w:val="both"/>
        <w:rPr>
          <w:rFonts w:hint="eastAsia" w:ascii="宋体" w:hAnsi="宋体" w:eastAsia="宋体" w:cs="宋体"/>
          <w:color w:val="auto"/>
        </w:rPr>
      </w:pPr>
      <w:r>
        <w:rPr>
          <w:rFonts w:hint="eastAsia" w:ascii="宋体" w:hAnsi="宋体" w:eastAsia="宋体" w:cs="宋体"/>
          <w:color w:val="auto"/>
          <w:lang w:eastAsia="zh-CN"/>
        </w:rPr>
        <w:t>3 如有项目工程内不含的二级指标，于是否不参评中画○，并于Q5总分中统计出不参评项总和分值；</w:t>
      </w:r>
    </w:p>
    <w:p>
      <w:pPr>
        <w:pStyle w:val="2"/>
        <w:rPr>
          <w:rFonts w:hint="eastAsia"/>
          <w:color w:val="auto"/>
          <w:lang w:eastAsia="zh-CN"/>
        </w:rPr>
      </w:pPr>
    </w:p>
    <w:p>
      <w:pPr>
        <w:rPr>
          <w:color w:val="auto"/>
          <w:highlight w:val="none"/>
        </w:rPr>
        <w:sectPr>
          <w:footerReference r:id="rId10" w:type="default"/>
          <w:pgSz w:w="16839" w:h="11906" w:orient="landscape"/>
          <w:pgMar w:top="1558" w:right="1431" w:bottom="1444" w:left="1858" w:header="0" w:footer="1692" w:gutter="0"/>
          <w:cols w:space="720" w:num="1"/>
        </w:sectPr>
      </w:pPr>
    </w:p>
    <w:p>
      <w:pPr>
        <w:keepNext w:val="0"/>
        <w:keepLines w:val="0"/>
        <w:pageBreakBefore w:val="0"/>
        <w:kinsoku/>
        <w:overflowPunct/>
        <w:topLinePunct w:val="0"/>
        <w:bidi w:val="0"/>
        <w:spacing w:before="139" w:line="222" w:lineRule="auto"/>
        <w:jc w:val="both"/>
        <w:outlineLvl w:val="0"/>
        <w:rPr>
          <w:rFonts w:ascii="宋体" w:hAnsi="宋体" w:eastAsia="宋体" w:cs="宋体"/>
          <w:color w:val="auto"/>
          <w:sz w:val="24"/>
          <w:szCs w:val="24"/>
          <w:highlight w:val="none"/>
        </w:rPr>
      </w:pPr>
      <w:bookmarkStart w:id="37" w:name="_Toc23837"/>
      <w:r>
        <w:rPr>
          <w:rFonts w:ascii="宋体" w:hAnsi="宋体" w:eastAsia="宋体" w:cs="宋体"/>
          <w:b/>
          <w:bCs/>
          <w:color w:val="auto"/>
          <w:spacing w:val="3"/>
          <w:sz w:val="43"/>
          <w:szCs w:val="43"/>
          <w:highlight w:val="none"/>
        </w:rPr>
        <w:t>附录</w:t>
      </w:r>
      <w:r>
        <w:rPr>
          <w:rFonts w:hint="eastAsia" w:ascii="宋体" w:hAnsi="宋体" w:eastAsia="宋体" w:cs="宋体"/>
          <w:b/>
          <w:bCs/>
          <w:color w:val="auto"/>
          <w:spacing w:val="3"/>
          <w:sz w:val="43"/>
          <w:szCs w:val="43"/>
          <w:highlight w:val="none"/>
          <w:lang w:val="en-US" w:eastAsia="zh-CN"/>
        </w:rPr>
        <w:t>B</w:t>
      </w:r>
      <w:r>
        <w:rPr>
          <w:rFonts w:ascii="宋体" w:hAnsi="宋体" w:eastAsia="宋体" w:cs="宋体"/>
          <w:b/>
          <w:bCs/>
          <w:color w:val="auto"/>
          <w:spacing w:val="3"/>
          <w:sz w:val="43"/>
          <w:szCs w:val="43"/>
          <w:highlight w:val="none"/>
        </w:rPr>
        <w:t>：</w:t>
      </w:r>
      <w:r>
        <w:rPr>
          <w:rFonts w:hint="eastAsia" w:ascii="宋体" w:hAnsi="宋体" w:eastAsia="宋体" w:cs="宋体"/>
          <w:b/>
          <w:bCs/>
          <w:color w:val="auto"/>
          <w:spacing w:val="3"/>
          <w:sz w:val="43"/>
          <w:szCs w:val="43"/>
          <w:highlight w:val="none"/>
          <w:lang w:eastAsia="zh-CN"/>
        </w:rPr>
        <w:t>应用项目</w:t>
      </w:r>
      <w:r>
        <w:rPr>
          <w:rFonts w:ascii="宋体" w:hAnsi="宋体" w:eastAsia="宋体" w:cs="宋体"/>
          <w:b/>
          <w:bCs/>
          <w:color w:val="auto"/>
          <w:spacing w:val="3"/>
          <w:sz w:val="43"/>
          <w:szCs w:val="43"/>
          <w:highlight w:val="none"/>
        </w:rPr>
        <w:t>绿色建材类型表</w:t>
      </w:r>
      <w:bookmarkEnd w:id="37"/>
    </w:p>
    <w:tbl>
      <w:tblPr>
        <w:tblStyle w:val="15"/>
        <w:tblW w:w="88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2030"/>
        <w:gridCol w:w="598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序号</w:t>
            </w:r>
          </w:p>
        </w:tc>
        <w:tc>
          <w:tcPr>
            <w:tcW w:w="203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二级指标</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产品类别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1</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预拌混凝土</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2</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混凝土结构构件、钢结构构件、现代木结构用材</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预制混凝土墙、板、梁、柱、楼梯，钢结构柱、结构梁、楼梯、支撑，木结构柱、结构梁、楼梯、支撑、檩条等、蒸压加气混凝土外墙板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3</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预拌砂浆</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水泥基预拌砂浆（湿拌砂浆、干混砌筑砂浆、干混抹灰砂浆、干混地面砂浆、干混普通防水砂浆和其他干混砂浆）、石膏砂浆、磷石膏抹灰砂浆、磷石膏基自流平砂浆、防腐砂浆等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4</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砌体材料（含内外墙）</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磷石膏空心砌块、烧结类砌体材料、非烧结类砌体材料、复合保温砌体材料、陶粒混凝土砌块、陶粒加气混凝土砌块、蒸压加气混凝土砌块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5</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防水密封材料</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改性沥青防水卷材、高分子防水卷材、水性防水涂料、高固含量型防水涂料、刚性防水材料、建筑用硅酮结构密封胶、建筑用硅酮密封胶、中空玻璃用硅酮密封胶、中空玻璃用硅酮结构密封胶、中空玻璃用丁基热熔密封胶、建筑用聚氨酯密封胶、建筑用聚硫密封胶、建筑用硅烷封端聚醚密封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6</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保温隔热材料</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岩棉制品、挤塑聚苯乙烯泡沫塑料制品（XPS）、模塑聚苯乙烯泡沫塑料制品（EPS）、玻璃棉、无机保温砂浆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7</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节能外门窗/透光幕墙</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门窗、门窗配件及型材、中空玻璃、玻璃幕墙、玻璃幕墙配件及其制品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8</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非透光幕墙、外墙板</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建筑装饰用铝单板、建筑外墙用结构保温复合板、夹芯复合外墙板、泡沫铝板幕墙、石材幕墙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9</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钢筋及连接件</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热轧钢筋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10</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其他-固废再生材料</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预拌流态固化土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11</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其他-遮阳制品</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建筑遮阳产品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12</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其他-混凝土结构外防护材料</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成膜型和渗透型有机类防护涂料及聚合物防护涂料（液料组分）、无机水性渗透结晶型材料、外涂型钢筋阻锈剂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b/>
                <w:bCs/>
                <w:color w:val="auto"/>
                <w:spacing w:val="4"/>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13</w:t>
            </w:r>
          </w:p>
        </w:tc>
        <w:tc>
          <w:tcPr>
            <w:tcW w:w="2030" w:type="dxa"/>
            <w:vAlign w:val="center"/>
          </w:tcPr>
          <w:p>
            <w:pPr>
              <w:keepNext w:val="0"/>
              <w:keepLines w:val="0"/>
              <w:widowControl/>
              <w:suppressLineNumbers w:val="0"/>
              <w:jc w:val="both"/>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其他-建筑结构加固胶</w:t>
            </w:r>
          </w:p>
        </w:tc>
        <w:tc>
          <w:tcPr>
            <w:tcW w:w="5980" w:type="dxa"/>
            <w:vAlign w:val="center"/>
          </w:tcPr>
          <w:p>
            <w:pPr>
              <w:keepNext w:val="0"/>
              <w:keepLines w:val="0"/>
              <w:widowControl/>
              <w:suppressLineNumbers w:val="0"/>
              <w:jc w:val="left"/>
              <w:textAlignment w:val="center"/>
              <w:rPr>
                <w:rFonts w:hint="eastAsia" w:ascii="宋体" w:hAnsi="宋体" w:eastAsia="宋体" w:cs="宋体"/>
                <w:b/>
                <w:bCs/>
                <w:color w:val="auto"/>
                <w:spacing w:val="6"/>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粘贴钢材用结构胶（以混凝土为基材）、粘贴纤维复合材用结构胶（以混凝土为基材）、锚固用结构胶（以混凝土为基材）、粘贴钢加固件用结构胶（以钢为基材）、粘贴碳纤维复合材用结构胶（以钢为基材）、粘贴木材用结构胶（以木材为基材）、混凝土和砌体结构构件裂缝用压注胶、干挂石材幕墙用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14</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其他-工程修复材料</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水泥基修复材料（纤维混凝土、水泥基快速修补混凝土、水泥基加固灌浆料、高延性纤维增强水泥基复合材料、水泥基快速修补砂浆）、聚合物树脂基快速修补材料、聚合物灌浆料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auto"/>
                <w:kern w:val="0"/>
                <w:sz w:val="24"/>
                <w:szCs w:val="24"/>
                <w:u w:val="none"/>
                <w:lang w:val="en-US" w:eastAsia="zh-CN" w:bidi="ar"/>
              </w:rPr>
              <w:t>15</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吊顶材料</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矿物棉装饰吸声板、集成吊顶、镀锌轻钢龙骨（吊顶用）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auto"/>
                <w:kern w:val="0"/>
                <w:sz w:val="24"/>
                <w:szCs w:val="24"/>
                <w:u w:val="none"/>
                <w:lang w:val="en-US" w:eastAsia="zh-CN" w:bidi="ar"/>
              </w:rPr>
              <w:t>16</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楼地面、屋面装饰材料</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地面陶瓷砖（板）、木地板、竹集成材地板、竹材饰面木质地板、聚氯乙烯类弹性地板、橡胶类弹性地板、软木类弹性地板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auto"/>
                <w:kern w:val="0"/>
                <w:sz w:val="24"/>
                <w:szCs w:val="24"/>
                <w:u w:val="none"/>
                <w:lang w:val="en-US" w:eastAsia="zh-CN" w:bidi="ar"/>
              </w:rPr>
              <w:t>17</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室内涂料</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室内水性墙面涂料、钢结构防火涂料、饰面型防火涂料、防腐涂料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auto"/>
                <w:kern w:val="0"/>
                <w:sz w:val="24"/>
                <w:szCs w:val="24"/>
                <w:u w:val="none"/>
                <w:lang w:val="en-US" w:eastAsia="zh-CN" w:bidi="ar"/>
              </w:rPr>
              <w:t>18</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外墙装饰材料</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外墙用水性墙面涂料、无机干粉涂覆材料、反射隔热涂料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auto"/>
                <w:kern w:val="0"/>
                <w:sz w:val="24"/>
                <w:szCs w:val="24"/>
                <w:u w:val="none"/>
                <w:lang w:val="en-US" w:eastAsia="zh-CN" w:bidi="ar"/>
              </w:rPr>
              <w:t>19</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建筑内隔墙板</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隔墙条板（蒸压加气混凝土板、发泡陶瓷板、混凝土轻质条板、石膏空心条板、复合隔墙板等）、隔断材料（混凝土隔断、金属隔断、木隔断等）、镀锌轻钢龙骨（墙体用）、金属集成墙面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auto"/>
                <w:kern w:val="0"/>
                <w:sz w:val="24"/>
                <w:szCs w:val="24"/>
                <w:u w:val="none"/>
                <w:lang w:val="en-US" w:eastAsia="zh-CN" w:bidi="ar"/>
              </w:rPr>
              <w:t>20</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石膏装饰材料</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纸面石膏板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auto"/>
                <w:kern w:val="0"/>
                <w:sz w:val="24"/>
                <w:szCs w:val="24"/>
                <w:u w:val="none"/>
                <w:lang w:val="en-US" w:eastAsia="zh-CN" w:bidi="ar"/>
              </w:rPr>
              <w:t>21</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电气照明</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室内照明用LED产品、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auto"/>
                <w:kern w:val="0"/>
                <w:sz w:val="24"/>
                <w:szCs w:val="24"/>
                <w:u w:val="none"/>
                <w:lang w:val="en-US" w:eastAsia="zh-CN" w:bidi="ar"/>
              </w:rPr>
              <w:t>22</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卫生洁具</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便器、智能坐便器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auto"/>
                <w:kern w:val="0"/>
                <w:sz w:val="24"/>
                <w:szCs w:val="24"/>
                <w:u w:val="none"/>
                <w:lang w:val="en-US" w:eastAsia="zh-CN" w:bidi="ar"/>
              </w:rPr>
              <w:t>23</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其他-其他建筑装饰板</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保温一体化装饰板、泡沫铝板（室内用）、无石棉纤维增强硅酸钙板、无石棉纤维水泥平板、建筑用菱镁装饰板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auto"/>
                <w:kern w:val="0"/>
                <w:sz w:val="24"/>
                <w:szCs w:val="24"/>
                <w:u w:val="none"/>
                <w:lang w:val="en-US" w:eastAsia="zh-CN" w:bidi="ar"/>
              </w:rPr>
              <w:t>24</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其他-建筑陶瓷制品</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墙面陶瓷砖（板）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z w:val="24"/>
                <w:szCs w:val="24"/>
                <w:highlight w:val="none"/>
                <w:lang w:eastAsia="zh-CN"/>
              </w:rPr>
            </w:pPr>
            <w:r>
              <w:rPr>
                <w:rFonts w:hint="eastAsia" w:ascii="宋体" w:hAnsi="宋体" w:eastAsia="宋体" w:cs="宋体"/>
                <w:i w:val="0"/>
                <w:iCs w:val="0"/>
                <w:snapToGrid w:val="0"/>
                <w:color w:val="auto"/>
                <w:kern w:val="0"/>
                <w:sz w:val="24"/>
                <w:szCs w:val="24"/>
                <w:u w:val="none"/>
                <w:lang w:val="en-US" w:eastAsia="zh-CN" w:bidi="ar"/>
              </w:rPr>
              <w:t>25</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其他-抗菌净化材料</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空气净化材料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pacing w:val="-8"/>
                <w:sz w:val="24"/>
                <w:szCs w:val="24"/>
                <w:highlight w:val="none"/>
                <w:lang w:val="en-US" w:eastAsia="zh-CN"/>
              </w:rPr>
            </w:pPr>
            <w:r>
              <w:rPr>
                <w:rFonts w:hint="eastAsia" w:ascii="宋体" w:hAnsi="宋体" w:eastAsia="宋体" w:cs="宋体"/>
                <w:i w:val="0"/>
                <w:iCs w:val="0"/>
                <w:snapToGrid w:val="0"/>
                <w:color w:val="auto"/>
                <w:kern w:val="0"/>
                <w:sz w:val="24"/>
                <w:szCs w:val="24"/>
                <w:u w:val="none"/>
                <w:lang w:val="en-US" w:eastAsia="zh-CN" w:bidi="ar"/>
              </w:rPr>
              <w:t>26</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其他-其他装饰材料</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壁纸、壁布、重组竹、重组木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pacing w:val="-8"/>
                <w:sz w:val="24"/>
                <w:szCs w:val="24"/>
                <w:highlight w:val="none"/>
                <w:lang w:val="en-US" w:eastAsia="zh-CN"/>
              </w:rPr>
            </w:pPr>
            <w:r>
              <w:rPr>
                <w:rFonts w:hint="eastAsia" w:ascii="宋体" w:hAnsi="宋体" w:eastAsia="宋体" w:cs="宋体"/>
                <w:i w:val="0"/>
                <w:iCs w:val="0"/>
                <w:snapToGrid w:val="0"/>
                <w:color w:val="auto"/>
                <w:kern w:val="0"/>
                <w:sz w:val="24"/>
                <w:szCs w:val="24"/>
                <w:u w:val="none"/>
                <w:lang w:val="en-US" w:eastAsia="zh-CN" w:bidi="ar"/>
              </w:rPr>
              <w:t>27</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其他-装修装饰用石材</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石材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pacing w:val="-8"/>
                <w:sz w:val="24"/>
                <w:szCs w:val="24"/>
                <w:highlight w:val="none"/>
                <w:lang w:val="en-US" w:eastAsia="zh-CN"/>
              </w:rPr>
            </w:pPr>
            <w:r>
              <w:rPr>
                <w:rFonts w:hint="eastAsia" w:ascii="宋体" w:hAnsi="宋体" w:eastAsia="宋体" w:cs="宋体"/>
                <w:i w:val="0"/>
                <w:iCs w:val="0"/>
                <w:snapToGrid w:val="0"/>
                <w:color w:val="auto"/>
                <w:kern w:val="0"/>
                <w:sz w:val="24"/>
                <w:szCs w:val="24"/>
                <w:u w:val="none"/>
                <w:lang w:val="en-US" w:eastAsia="zh-CN" w:bidi="ar"/>
              </w:rPr>
              <w:t>28</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给排水管材管件、阀门</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水嘴、塑料管材管件（聚烯烃类、聚氯乙烯（PVC）类塑料管材、管件）、不锈钢管及管件、铜管及管件、铸铁管及管件、压接式涂覆碳钢管及管件、混凝土和钢筋混凝土管材及管件、建筑用阀门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pacing w:val="-8"/>
                <w:sz w:val="24"/>
                <w:szCs w:val="24"/>
                <w:highlight w:val="none"/>
                <w:lang w:val="en-US" w:eastAsia="zh-CN"/>
              </w:rPr>
            </w:pPr>
            <w:r>
              <w:rPr>
                <w:rFonts w:hint="eastAsia" w:ascii="宋体" w:hAnsi="宋体" w:eastAsia="宋体" w:cs="宋体"/>
                <w:i w:val="0"/>
                <w:iCs w:val="0"/>
                <w:snapToGrid w:val="0"/>
                <w:color w:val="auto"/>
                <w:kern w:val="0"/>
                <w:sz w:val="24"/>
                <w:szCs w:val="24"/>
                <w:u w:val="none"/>
                <w:lang w:val="en-US" w:eastAsia="zh-CN" w:bidi="ar"/>
              </w:rPr>
              <w:t>29</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水处理设备/二次供水设备</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中水处理设备、净水设备、软化设备、二次供水设备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pacing w:val="-8"/>
                <w:sz w:val="24"/>
                <w:szCs w:val="24"/>
                <w:highlight w:val="none"/>
                <w:lang w:val="en-US" w:eastAsia="zh-CN"/>
              </w:rPr>
            </w:pPr>
            <w:r>
              <w:rPr>
                <w:rFonts w:hint="eastAsia" w:ascii="宋体" w:hAnsi="宋体" w:eastAsia="宋体" w:cs="宋体"/>
                <w:i w:val="0"/>
                <w:iCs w:val="0"/>
                <w:snapToGrid w:val="0"/>
                <w:color w:val="auto"/>
                <w:kern w:val="0"/>
                <w:sz w:val="24"/>
                <w:szCs w:val="24"/>
                <w:u w:val="none"/>
                <w:lang w:val="en-US" w:eastAsia="zh-CN" w:bidi="ar"/>
              </w:rPr>
              <w:t>30</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高低压配电柜</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高低压配电柜（板）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pacing w:val="-8"/>
                <w:sz w:val="24"/>
                <w:szCs w:val="24"/>
                <w:highlight w:val="none"/>
                <w:lang w:val="en-US" w:eastAsia="zh-CN"/>
              </w:rPr>
            </w:pPr>
            <w:r>
              <w:rPr>
                <w:rFonts w:hint="eastAsia" w:ascii="宋体" w:hAnsi="宋体" w:eastAsia="宋体" w:cs="宋体"/>
                <w:i w:val="0"/>
                <w:iCs w:val="0"/>
                <w:snapToGrid w:val="0"/>
                <w:color w:val="auto"/>
                <w:kern w:val="0"/>
                <w:sz w:val="24"/>
                <w:szCs w:val="24"/>
                <w:u w:val="none"/>
                <w:lang w:val="en-US" w:eastAsia="zh-CN" w:bidi="ar"/>
              </w:rPr>
              <w:t>31</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母线槽、电线电缆</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密集绝缘母线槽、矿物绝缘线缆、低烟无卤线缆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pacing w:val="-8"/>
                <w:sz w:val="24"/>
                <w:szCs w:val="24"/>
                <w:highlight w:val="none"/>
                <w:lang w:val="en-US" w:eastAsia="zh-CN"/>
              </w:rPr>
            </w:pPr>
            <w:r>
              <w:rPr>
                <w:rFonts w:hint="eastAsia" w:ascii="宋体" w:hAnsi="宋体" w:eastAsia="宋体" w:cs="宋体"/>
                <w:i w:val="0"/>
                <w:iCs w:val="0"/>
                <w:snapToGrid w:val="0"/>
                <w:color w:val="auto"/>
                <w:kern w:val="0"/>
                <w:sz w:val="24"/>
                <w:szCs w:val="24"/>
                <w:u w:val="none"/>
                <w:lang w:val="en-US" w:eastAsia="zh-CN" w:bidi="ar"/>
              </w:rPr>
              <w:t>32</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充电桩</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充电桩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850" w:type="dxa"/>
            <w:vAlign w:val="center"/>
          </w:tcPr>
          <w:p>
            <w:pPr>
              <w:keepNext w:val="0"/>
              <w:keepLines w:val="0"/>
              <w:widowControl/>
              <w:suppressLineNumbers w:val="0"/>
              <w:jc w:val="right"/>
              <w:textAlignment w:val="center"/>
              <w:rPr>
                <w:rFonts w:hint="eastAsia" w:ascii="宋体" w:hAnsi="宋体" w:eastAsia="宋体" w:cs="宋体"/>
                <w:color w:val="auto"/>
                <w:spacing w:val="-8"/>
                <w:sz w:val="24"/>
                <w:szCs w:val="24"/>
                <w:highlight w:val="none"/>
                <w:lang w:val="en-US" w:eastAsia="zh-CN"/>
              </w:rPr>
            </w:pPr>
            <w:r>
              <w:rPr>
                <w:rFonts w:hint="eastAsia" w:ascii="宋体" w:hAnsi="宋体" w:eastAsia="宋体" w:cs="宋体"/>
                <w:i w:val="0"/>
                <w:iCs w:val="0"/>
                <w:snapToGrid w:val="0"/>
                <w:color w:val="auto"/>
                <w:kern w:val="0"/>
                <w:sz w:val="24"/>
                <w:szCs w:val="24"/>
                <w:u w:val="none"/>
                <w:lang w:val="en-US" w:eastAsia="zh-CN" w:bidi="ar"/>
              </w:rPr>
              <w:t>33</w:t>
            </w:r>
          </w:p>
        </w:tc>
        <w:tc>
          <w:tcPr>
            <w:tcW w:w="2030" w:type="dxa"/>
            <w:vAlign w:val="center"/>
          </w:tcPr>
          <w:p>
            <w:pPr>
              <w:keepNext w:val="0"/>
              <w:keepLines w:val="0"/>
              <w:widowControl/>
              <w:suppressLineNumbers w:val="0"/>
              <w:jc w:val="both"/>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冷热源设备、空调新风设备</w:t>
            </w:r>
          </w:p>
        </w:tc>
        <w:tc>
          <w:tcPr>
            <w:tcW w:w="5980" w:type="dxa"/>
            <w:vAlign w:val="center"/>
          </w:tcPr>
          <w:p>
            <w:pPr>
              <w:keepNext w:val="0"/>
              <w:keepLines w:val="0"/>
              <w:widowControl/>
              <w:suppressLineNumbers w:val="0"/>
              <w:jc w:val="left"/>
              <w:textAlignment w:val="center"/>
              <w:rPr>
                <w:rFonts w:hint="eastAsia" w:ascii="宋体" w:hAnsi="宋体" w:eastAsia="宋体" w:cs="宋体"/>
                <w:color w:val="auto"/>
                <w:spacing w:val="8"/>
                <w:sz w:val="24"/>
                <w:szCs w:val="24"/>
                <w:highlight w:val="none"/>
              </w:rPr>
            </w:pPr>
            <w:r>
              <w:rPr>
                <w:rFonts w:hint="eastAsia" w:ascii="宋体" w:hAnsi="宋体" w:eastAsia="宋体" w:cs="宋体"/>
                <w:i w:val="0"/>
                <w:iCs w:val="0"/>
                <w:snapToGrid w:val="0"/>
                <w:color w:val="auto"/>
                <w:kern w:val="0"/>
                <w:sz w:val="24"/>
                <w:szCs w:val="24"/>
                <w:u w:val="none"/>
                <w:lang w:val="en-US" w:eastAsia="zh-CN" w:bidi="ar"/>
              </w:rPr>
              <w:t>冷水机组、空气源热泵（冷热风型、冷热水型空气源热泵机组）、地源热泵、组合式空调机组、新风净化系统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 w:hRule="atLeast"/>
        </w:trPr>
        <w:tc>
          <w:tcPr>
            <w:tcW w:w="8860" w:type="dxa"/>
            <w:gridSpan w:val="3"/>
            <w:vAlign w:val="center"/>
          </w:tcPr>
          <w:p>
            <w:pPr>
              <w:pStyle w:val="16"/>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524" w:firstLineChars="200"/>
              <w:jc w:val="both"/>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11"/>
                <w:sz w:val="24"/>
                <w:szCs w:val="24"/>
                <w:highlight w:val="none"/>
              </w:rPr>
              <w:t>注：</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11"/>
                <w:sz w:val="24"/>
                <w:szCs w:val="24"/>
                <w:highlight w:val="none"/>
              </w:rPr>
              <w:t>因篇幅限制，“可选绿色建材”还应包括其他被列入《基本要求》</w:t>
            </w:r>
            <w:r>
              <w:rPr>
                <w:rFonts w:hint="eastAsia" w:ascii="宋体" w:hAnsi="宋体" w:eastAsia="宋体" w:cs="宋体"/>
                <w:color w:val="auto"/>
                <w:spacing w:val="10"/>
                <w:sz w:val="24"/>
                <w:szCs w:val="24"/>
                <w:highlight w:val="none"/>
              </w:rPr>
              <w:t>但未在本表中载明其他绿</w:t>
            </w:r>
            <w:r>
              <w:rPr>
                <w:rFonts w:hint="eastAsia" w:ascii="宋体" w:hAnsi="宋体" w:eastAsia="宋体" w:cs="宋体"/>
                <w:color w:val="auto"/>
                <w:spacing w:val="4"/>
                <w:sz w:val="24"/>
                <w:szCs w:val="24"/>
                <w:highlight w:val="none"/>
              </w:rPr>
              <w:t>色建材。</w:t>
            </w:r>
          </w:p>
        </w:tc>
      </w:tr>
    </w:tbl>
    <w:p>
      <w:pPr>
        <w:keepNext w:val="0"/>
        <w:keepLines w:val="0"/>
        <w:pageBreakBefore w:val="0"/>
        <w:kinsoku/>
        <w:overflowPunct/>
        <w:topLinePunct w:val="0"/>
        <w:bidi w:val="0"/>
        <w:jc w:val="both"/>
        <w:rPr>
          <w:rFonts w:hint="eastAsia"/>
          <w:color w:val="auto"/>
          <w:highlight w:val="none"/>
          <w:lang w:val="en-US" w:eastAsia="zh-CN"/>
        </w:rPr>
      </w:pPr>
      <w:bookmarkStart w:id="38" w:name="bookmark23"/>
      <w:bookmarkEnd w:id="38"/>
    </w:p>
    <w:sectPr>
      <w:pgSz w:w="11906" w:h="16839"/>
      <w:pgMar w:top="1431" w:right="1444" w:bottom="1858" w:left="1558" w:header="0" w:footer="16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276"/>
      <w:rPr>
        <w:rFonts w:ascii="Calibri" w:hAnsi="Calibri" w:eastAsia="Calibri" w:cs="Calibr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276"/>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vA/AhHQIAACsEAAAOAAAAZHJz&#10;L2Uyb0RvYy54bWytU82O0zAQviPxDpbvNGnRrq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rm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8D8CEdAgAAKw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80"/>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5</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76"/>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7</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7</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wh4D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FsIeAxwCAAArBAAADgAAAAAAAAABACAAAAA1AQAAZHJzL2Uyb0RvYy54bWxQSwUG&#10;AAAAAAYABgBZAQAAwwU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16</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NotDisplayPageBoundaries w:val="true"/>
  <w:displayBackgroundShape w:val="true"/>
  <w:bordersDoNotSurroundHeader w:val="false"/>
  <w:bordersDoNotSurroundFooter w:val="false"/>
  <w:documentProtection w:enforcement="0"/>
  <w:defaultTabStop w:val="499"/>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ZDhlYmNiMDM0NDg1NjQ3ZGUxZGM0YTZkNGNkYjYxNjYifQ=="/>
    <w:docVar w:name="KSO_WPS_MARK_KEY" w:val="17d8c20b-1b32-4d01-8741-600b6c675157"/>
  </w:docVars>
  <w:rsids>
    <w:rsidRoot w:val="00000000"/>
    <w:rsid w:val="000423C9"/>
    <w:rsid w:val="004E74F2"/>
    <w:rsid w:val="0102270B"/>
    <w:rsid w:val="010E3A48"/>
    <w:rsid w:val="024952DF"/>
    <w:rsid w:val="02C177F2"/>
    <w:rsid w:val="042849EA"/>
    <w:rsid w:val="046C750A"/>
    <w:rsid w:val="04E24D95"/>
    <w:rsid w:val="061E7004"/>
    <w:rsid w:val="06784E26"/>
    <w:rsid w:val="06A755CC"/>
    <w:rsid w:val="06CE466E"/>
    <w:rsid w:val="07524795"/>
    <w:rsid w:val="075653B1"/>
    <w:rsid w:val="077D31FA"/>
    <w:rsid w:val="077E3BEE"/>
    <w:rsid w:val="07F57873"/>
    <w:rsid w:val="08A73F39"/>
    <w:rsid w:val="08B1373D"/>
    <w:rsid w:val="09090A08"/>
    <w:rsid w:val="09742DD9"/>
    <w:rsid w:val="09871A3B"/>
    <w:rsid w:val="098A2126"/>
    <w:rsid w:val="09D137FB"/>
    <w:rsid w:val="0A550FDD"/>
    <w:rsid w:val="0A6375A8"/>
    <w:rsid w:val="0A793292"/>
    <w:rsid w:val="0C1741FF"/>
    <w:rsid w:val="0CC779D3"/>
    <w:rsid w:val="0CF8798C"/>
    <w:rsid w:val="0D4A6071"/>
    <w:rsid w:val="0DCF3AD3"/>
    <w:rsid w:val="0DE6015C"/>
    <w:rsid w:val="0FC215D8"/>
    <w:rsid w:val="10B93586"/>
    <w:rsid w:val="111B602D"/>
    <w:rsid w:val="12D00737"/>
    <w:rsid w:val="12F65637"/>
    <w:rsid w:val="13D469E4"/>
    <w:rsid w:val="148443FC"/>
    <w:rsid w:val="148E5532"/>
    <w:rsid w:val="15502FC3"/>
    <w:rsid w:val="17292698"/>
    <w:rsid w:val="1748744E"/>
    <w:rsid w:val="17B1672E"/>
    <w:rsid w:val="18841F62"/>
    <w:rsid w:val="188B7D52"/>
    <w:rsid w:val="18C537AC"/>
    <w:rsid w:val="18F85B6D"/>
    <w:rsid w:val="192A37C4"/>
    <w:rsid w:val="1A080616"/>
    <w:rsid w:val="1A1309F5"/>
    <w:rsid w:val="1A197EAF"/>
    <w:rsid w:val="1CBE7136"/>
    <w:rsid w:val="1DBA49EB"/>
    <w:rsid w:val="1DDF38F2"/>
    <w:rsid w:val="1E1455EB"/>
    <w:rsid w:val="1FAFFF19"/>
    <w:rsid w:val="20BF0F2A"/>
    <w:rsid w:val="210C526D"/>
    <w:rsid w:val="21FB7691"/>
    <w:rsid w:val="225474AB"/>
    <w:rsid w:val="22E177D9"/>
    <w:rsid w:val="23B51EDC"/>
    <w:rsid w:val="2527505B"/>
    <w:rsid w:val="25A77467"/>
    <w:rsid w:val="25E47FC3"/>
    <w:rsid w:val="27376C81"/>
    <w:rsid w:val="2742617D"/>
    <w:rsid w:val="27985BCF"/>
    <w:rsid w:val="28D154FC"/>
    <w:rsid w:val="28F54448"/>
    <w:rsid w:val="2A6C5F1F"/>
    <w:rsid w:val="2A78667C"/>
    <w:rsid w:val="2ADC1861"/>
    <w:rsid w:val="2D2A393B"/>
    <w:rsid w:val="2D933359"/>
    <w:rsid w:val="2E701821"/>
    <w:rsid w:val="2EC42CAB"/>
    <w:rsid w:val="2EE65698"/>
    <w:rsid w:val="2F2031BE"/>
    <w:rsid w:val="2F320937"/>
    <w:rsid w:val="30B17ECF"/>
    <w:rsid w:val="31CC673D"/>
    <w:rsid w:val="320310CB"/>
    <w:rsid w:val="32384404"/>
    <w:rsid w:val="32452CE4"/>
    <w:rsid w:val="32943604"/>
    <w:rsid w:val="335214F5"/>
    <w:rsid w:val="33FF389A"/>
    <w:rsid w:val="34053A2F"/>
    <w:rsid w:val="34117B69"/>
    <w:rsid w:val="342B1E19"/>
    <w:rsid w:val="34B00BC9"/>
    <w:rsid w:val="34DB0A67"/>
    <w:rsid w:val="350A7810"/>
    <w:rsid w:val="35FA2CAE"/>
    <w:rsid w:val="36CA1CEB"/>
    <w:rsid w:val="37836E8F"/>
    <w:rsid w:val="37FB4D1C"/>
    <w:rsid w:val="381A02F6"/>
    <w:rsid w:val="38971D98"/>
    <w:rsid w:val="38FF3ECD"/>
    <w:rsid w:val="3909100D"/>
    <w:rsid w:val="39361ED6"/>
    <w:rsid w:val="395B44DE"/>
    <w:rsid w:val="3A080B60"/>
    <w:rsid w:val="3A1E36E0"/>
    <w:rsid w:val="3B1B3ADD"/>
    <w:rsid w:val="3BA50630"/>
    <w:rsid w:val="3CA56B4D"/>
    <w:rsid w:val="3CF10204"/>
    <w:rsid w:val="3D69700A"/>
    <w:rsid w:val="3DCC5B9D"/>
    <w:rsid w:val="3E0D3822"/>
    <w:rsid w:val="3E886713"/>
    <w:rsid w:val="3FAC596F"/>
    <w:rsid w:val="3FBE5D2F"/>
    <w:rsid w:val="3FC6616E"/>
    <w:rsid w:val="4016588C"/>
    <w:rsid w:val="408E6767"/>
    <w:rsid w:val="40D8253F"/>
    <w:rsid w:val="41023540"/>
    <w:rsid w:val="41B846EF"/>
    <w:rsid w:val="421B789E"/>
    <w:rsid w:val="42765FA9"/>
    <w:rsid w:val="42992DD1"/>
    <w:rsid w:val="42BB56B3"/>
    <w:rsid w:val="43E6738F"/>
    <w:rsid w:val="43F25C36"/>
    <w:rsid w:val="44BC2416"/>
    <w:rsid w:val="461C7C0B"/>
    <w:rsid w:val="46910A92"/>
    <w:rsid w:val="46E464B1"/>
    <w:rsid w:val="47522851"/>
    <w:rsid w:val="477A1230"/>
    <w:rsid w:val="480D5939"/>
    <w:rsid w:val="48AF1BCE"/>
    <w:rsid w:val="49B44860"/>
    <w:rsid w:val="49CB76A8"/>
    <w:rsid w:val="4A226E41"/>
    <w:rsid w:val="4AA00751"/>
    <w:rsid w:val="4C193E12"/>
    <w:rsid w:val="4C831807"/>
    <w:rsid w:val="4D101E97"/>
    <w:rsid w:val="4DAD6414"/>
    <w:rsid w:val="4DD0732D"/>
    <w:rsid w:val="4F2D1163"/>
    <w:rsid w:val="4F2E6D4B"/>
    <w:rsid w:val="4FAE1D52"/>
    <w:rsid w:val="4FBF3BE3"/>
    <w:rsid w:val="4FCE4E0F"/>
    <w:rsid w:val="50D643AB"/>
    <w:rsid w:val="512317BF"/>
    <w:rsid w:val="520E4D2A"/>
    <w:rsid w:val="5431081B"/>
    <w:rsid w:val="543C792C"/>
    <w:rsid w:val="543D2D23"/>
    <w:rsid w:val="5476196D"/>
    <w:rsid w:val="554A42CB"/>
    <w:rsid w:val="558F6181"/>
    <w:rsid w:val="565A7A27"/>
    <w:rsid w:val="57746E1A"/>
    <w:rsid w:val="5875340D"/>
    <w:rsid w:val="58943A9E"/>
    <w:rsid w:val="5A8B7099"/>
    <w:rsid w:val="5A9C6985"/>
    <w:rsid w:val="5BAB36C1"/>
    <w:rsid w:val="5BB967C4"/>
    <w:rsid w:val="5BC71644"/>
    <w:rsid w:val="5C723D64"/>
    <w:rsid w:val="5D965BD9"/>
    <w:rsid w:val="5DAC23DF"/>
    <w:rsid w:val="5EFA090B"/>
    <w:rsid w:val="5F274BAB"/>
    <w:rsid w:val="5F553F98"/>
    <w:rsid w:val="5FEE1F02"/>
    <w:rsid w:val="639A0981"/>
    <w:rsid w:val="6409071F"/>
    <w:rsid w:val="64C01730"/>
    <w:rsid w:val="64DD2E83"/>
    <w:rsid w:val="64EF09EB"/>
    <w:rsid w:val="650647F6"/>
    <w:rsid w:val="65501489"/>
    <w:rsid w:val="65BE0105"/>
    <w:rsid w:val="65E529AB"/>
    <w:rsid w:val="65ED0648"/>
    <w:rsid w:val="67B12C69"/>
    <w:rsid w:val="67E60D9F"/>
    <w:rsid w:val="6828049B"/>
    <w:rsid w:val="682E5178"/>
    <w:rsid w:val="686377DF"/>
    <w:rsid w:val="692C1198"/>
    <w:rsid w:val="69FA358D"/>
    <w:rsid w:val="6A4232E9"/>
    <w:rsid w:val="6A540158"/>
    <w:rsid w:val="6A6E23B2"/>
    <w:rsid w:val="6A6F50C1"/>
    <w:rsid w:val="6AA8301A"/>
    <w:rsid w:val="6AFE7C63"/>
    <w:rsid w:val="6C603B35"/>
    <w:rsid w:val="6CF272CA"/>
    <w:rsid w:val="6D2653DE"/>
    <w:rsid w:val="6D66524A"/>
    <w:rsid w:val="6E8E101A"/>
    <w:rsid w:val="6F3A5FE7"/>
    <w:rsid w:val="6F8D4257"/>
    <w:rsid w:val="6FB77D24"/>
    <w:rsid w:val="6FB940CF"/>
    <w:rsid w:val="6FD77C5D"/>
    <w:rsid w:val="70B56644"/>
    <w:rsid w:val="725D5565"/>
    <w:rsid w:val="726C3F67"/>
    <w:rsid w:val="72FE0564"/>
    <w:rsid w:val="732F2A87"/>
    <w:rsid w:val="7333148D"/>
    <w:rsid w:val="733C5BD8"/>
    <w:rsid w:val="733C652C"/>
    <w:rsid w:val="737D77EE"/>
    <w:rsid w:val="73E67317"/>
    <w:rsid w:val="751F2987"/>
    <w:rsid w:val="752E4DCE"/>
    <w:rsid w:val="756A16A3"/>
    <w:rsid w:val="75B20E80"/>
    <w:rsid w:val="75D7510E"/>
    <w:rsid w:val="77274014"/>
    <w:rsid w:val="774731CA"/>
    <w:rsid w:val="774B43E7"/>
    <w:rsid w:val="77637DD4"/>
    <w:rsid w:val="77EC54CF"/>
    <w:rsid w:val="77FF5248"/>
    <w:rsid w:val="783B255D"/>
    <w:rsid w:val="783F5A04"/>
    <w:rsid w:val="784B51D3"/>
    <w:rsid w:val="789254BD"/>
    <w:rsid w:val="789C141A"/>
    <w:rsid w:val="79076B3E"/>
    <w:rsid w:val="7AC8685C"/>
    <w:rsid w:val="7ADE0E8D"/>
    <w:rsid w:val="7B335282"/>
    <w:rsid w:val="7C124327"/>
    <w:rsid w:val="7C2F41E4"/>
    <w:rsid w:val="7DC35131"/>
    <w:rsid w:val="7DCD03C7"/>
    <w:rsid w:val="7F72DEF5"/>
    <w:rsid w:val="7F930498"/>
    <w:rsid w:val="7FB62E9F"/>
    <w:rsid w:val="7FC56178"/>
    <w:rsid w:val="EFFF02CC"/>
    <w:rsid w:val="F74D40BE"/>
    <w:rsid w:val="F7FF844A"/>
    <w:rsid w:val="F9FF60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1"/>
    <w:basedOn w:val="1"/>
    <w:next w:val="1"/>
    <w:qFormat/>
    <w:uiPriority w:val="1"/>
    <w:pPr>
      <w:adjustRightInd/>
      <w:spacing w:before="100" w:beforeLines="100" w:after="100" w:afterLines="100"/>
      <w:jc w:val="center"/>
      <w:outlineLvl w:val="0"/>
    </w:pPr>
    <w:rPr>
      <w:rFonts w:ascii="Times New Roman" w:hAnsi="Times New Roman"/>
      <w:b/>
      <w:sz w:val="32"/>
      <w:szCs w:val="24"/>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alloon Text"/>
    <w:basedOn w:val="1"/>
    <w:next w:val="3"/>
    <w:qFormat/>
    <w:uiPriority w:val="99"/>
    <w:pPr>
      <w:spacing w:line="240" w:lineRule="auto"/>
    </w:pPr>
    <w:rPr>
      <w:sz w:val="18"/>
      <w:szCs w:val="18"/>
    </w:rPr>
  </w:style>
  <w:style w:type="paragraph" w:customStyle="1" w:styleId="3">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6">
    <w:name w:val="annotation text"/>
    <w:basedOn w:val="1"/>
    <w:qFormat/>
    <w:uiPriority w:val="0"/>
    <w:pPr>
      <w:jc w:val="left"/>
    </w:p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footer"/>
    <w:basedOn w:val="1"/>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宋体" w:hAnsi="宋体" w:eastAsia="宋体" w:cs="宋体"/>
      <w:sz w:val="20"/>
      <w:szCs w:val="20"/>
      <w:lang w:val="en-US" w:eastAsia="en-US" w:bidi="ar-SA"/>
    </w:rPr>
  </w:style>
  <w:style w:type="paragraph" w:customStyle="1" w:styleId="17">
    <w:name w:val="WPSOffice手动目录 1"/>
    <w:qFormat/>
    <w:uiPriority w:val="0"/>
    <w:pPr>
      <w:ind w:leftChars="0"/>
    </w:pPr>
    <w:rPr>
      <w:rFonts w:ascii="Arial" w:hAnsi="Arial" w:eastAsia="Arial" w:cs="Arial"/>
      <w:sz w:val="20"/>
      <w:szCs w:val="20"/>
    </w:rPr>
  </w:style>
  <w:style w:type="paragraph" w:customStyle="1" w:styleId="18">
    <w:name w:val="Char"/>
    <w:basedOn w:val="1"/>
    <w:qFormat/>
    <w:uiPriority w:val="0"/>
    <w:pPr>
      <w:tabs>
        <w:tab w:val="left" w:pos="4665"/>
        <w:tab w:val="left" w:pos="8970"/>
      </w:tabs>
      <w:ind w:firstLine="400"/>
    </w:pPr>
    <w:rPr>
      <w:rFonts w:ascii="Tahoma" w:hAnsi="Tahoma" w:cs="Tahoma"/>
      <w:sz w:val="24"/>
    </w:rPr>
  </w:style>
  <w:style w:type="character" w:customStyle="1" w:styleId="19">
    <w:name w:val="font01"/>
    <w:basedOn w:val="14"/>
    <w:qFormat/>
    <w:uiPriority w:val="0"/>
    <w:rPr>
      <w:rFonts w:hint="eastAsia" w:ascii="宋体" w:hAnsi="宋体" w:eastAsia="宋体" w:cs="宋体"/>
      <w:color w:val="000000"/>
      <w:sz w:val="22"/>
      <w:szCs w:val="22"/>
      <w:u w:val="none"/>
    </w:rPr>
  </w:style>
  <w:style w:type="character" w:customStyle="1" w:styleId="20">
    <w:name w:val="font7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6990</Words>
  <Characters>7418</Characters>
  <TotalTime>16</TotalTime>
  <ScaleCrop>false</ScaleCrop>
  <LinksUpToDate>false</LinksUpToDate>
  <CharactersWithSpaces>7863</CharactersWithSpaces>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2021-10-15T19:04:00Z</dcterms:created>
  <dc:creator>殷帅</dc:creator>
  <cp:lastModifiedBy>uos</cp:lastModifiedBy>
  <cp:lastPrinted>2026-08-14T18:41:00Z</cp:lastPrinted>
  <dcterms:modified xsi:type="dcterms:W3CDTF">2026-08-25T09:18:48Z</dcterms:modified>
  <dc:title>青岛市既有居住建筑节能保暖工程节能量核定导则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2023-09-10T13:10:15Z</vt:filetime>
  </property>
  <property fmtid="{D5CDD505-2E9C-101B-9397-08002B2CF9AE}" pid="4" name="KSOProductBuildVer">
    <vt:lpwstr>2052-11.8.2.10337</vt:lpwstr>
  </property>
  <property fmtid="{D5CDD505-2E9C-101B-9397-08002B2CF9AE}" pid="5" name="ICV">
    <vt:lpwstr>AF6D18F4A4514A4CADDE746C664CBD8A_13</vt:lpwstr>
  </property>
  <property fmtid="{D5CDD505-2E9C-101B-9397-08002B2CF9AE}" pid="6" name="KSOTemplateDocerSaveRecord">
    <vt:lpwstr>eyJoZGlkIjoiYmJhMmYzYzU4ODg0NDg2NzY2NmJiODQxNzhlMmRjMmEiLCJ1c2VySWQiOiIxNjA1OTY0ODE1In0=</vt:lpwstr>
  </property>
</Properties>
</file>