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753A1" w14:textId="77777777" w:rsidR="004D05C8" w:rsidRPr="00880FCE" w:rsidRDefault="007B1C52" w:rsidP="002878A4">
      <w:pPr>
        <w:spacing w:line="440" w:lineRule="exact"/>
        <w:jc w:val="center"/>
        <w:rPr>
          <w:rFonts w:ascii="仿宋_GB2312" w:hAnsi="宋体"/>
          <w:bCs/>
          <w:color w:val="000000"/>
          <w:sz w:val="36"/>
          <w:szCs w:val="36"/>
        </w:rPr>
      </w:pPr>
      <w:r w:rsidRPr="00880FCE">
        <w:rPr>
          <w:rFonts w:ascii="黑体" w:eastAsia="黑体" w:hAnsi="黑体" w:hint="eastAsia"/>
          <w:bCs/>
          <w:color w:val="000000"/>
          <w:sz w:val="36"/>
          <w:szCs w:val="36"/>
        </w:rPr>
        <w:t>软件园</w:t>
      </w:r>
      <w:r w:rsidRPr="00880FCE">
        <w:rPr>
          <w:rFonts w:ascii="黑体" w:eastAsia="黑体" w:hAnsi="黑体"/>
          <w:bCs/>
          <w:color w:val="000000"/>
          <w:sz w:val="36"/>
          <w:szCs w:val="36"/>
        </w:rPr>
        <w:t>E</w:t>
      </w:r>
      <w:r w:rsidRPr="00880FCE">
        <w:rPr>
          <w:rFonts w:ascii="黑体" w:eastAsia="黑体" w:hAnsi="黑体" w:hint="eastAsia"/>
          <w:bCs/>
          <w:color w:val="000000"/>
          <w:sz w:val="36"/>
          <w:szCs w:val="36"/>
        </w:rPr>
        <w:t>区</w:t>
      </w:r>
      <w:r w:rsidRPr="00880FCE">
        <w:rPr>
          <w:rFonts w:ascii="黑体" w:eastAsia="黑体" w:hAnsi="黑体"/>
          <w:bCs/>
          <w:color w:val="000000"/>
          <w:sz w:val="36"/>
          <w:szCs w:val="36"/>
        </w:rPr>
        <w:t>25</w:t>
      </w:r>
      <w:r w:rsidRPr="00880FCE">
        <w:rPr>
          <w:rFonts w:ascii="黑体" w:eastAsia="黑体" w:hAnsi="黑体" w:hint="eastAsia"/>
          <w:bCs/>
          <w:color w:val="000000"/>
          <w:sz w:val="36"/>
          <w:szCs w:val="36"/>
        </w:rPr>
        <w:t>地块福州软件</w:t>
      </w:r>
      <w:proofErr w:type="gramStart"/>
      <w:r w:rsidRPr="00880FCE">
        <w:rPr>
          <w:rFonts w:ascii="黑体" w:eastAsia="黑体" w:hAnsi="黑体" w:hint="eastAsia"/>
          <w:bCs/>
          <w:color w:val="000000"/>
          <w:sz w:val="36"/>
          <w:szCs w:val="36"/>
        </w:rPr>
        <w:t>园数字</w:t>
      </w:r>
      <w:proofErr w:type="gramEnd"/>
      <w:r w:rsidRPr="00880FCE">
        <w:rPr>
          <w:rFonts w:ascii="黑体" w:eastAsia="黑体" w:hAnsi="黑体" w:hint="eastAsia"/>
          <w:bCs/>
          <w:color w:val="000000"/>
          <w:sz w:val="36"/>
          <w:szCs w:val="36"/>
        </w:rPr>
        <w:t>经济产业创新中心项目</w:t>
      </w:r>
      <w:r w:rsidRPr="00880FCE">
        <w:rPr>
          <w:rFonts w:ascii="仿宋_GB2312" w:hAnsi="宋体"/>
          <w:bCs/>
          <w:color w:val="000000"/>
          <w:sz w:val="36"/>
          <w:szCs w:val="36"/>
        </w:rPr>
        <w:t>1#-1</w:t>
      </w:r>
      <w:r w:rsidRPr="00880FCE">
        <w:rPr>
          <w:rFonts w:ascii="仿宋_GB2312" w:hAnsi="宋体" w:hint="eastAsia"/>
          <w:bCs/>
          <w:color w:val="000000"/>
          <w:sz w:val="36"/>
          <w:szCs w:val="36"/>
        </w:rPr>
        <w:t>号楼、</w:t>
      </w:r>
      <w:r w:rsidRPr="00880FCE">
        <w:rPr>
          <w:rFonts w:ascii="仿宋_GB2312" w:hAnsi="宋体"/>
          <w:bCs/>
          <w:color w:val="000000"/>
          <w:sz w:val="36"/>
          <w:szCs w:val="36"/>
        </w:rPr>
        <w:t>1#-2</w:t>
      </w:r>
      <w:r w:rsidRPr="00880FCE">
        <w:rPr>
          <w:rFonts w:ascii="仿宋_GB2312" w:hAnsi="宋体" w:hint="eastAsia"/>
          <w:bCs/>
          <w:color w:val="000000"/>
          <w:sz w:val="36"/>
          <w:szCs w:val="36"/>
        </w:rPr>
        <w:t>号楼、</w:t>
      </w:r>
      <w:r w:rsidRPr="00880FCE">
        <w:rPr>
          <w:rFonts w:ascii="仿宋_GB2312" w:hAnsi="宋体"/>
          <w:bCs/>
          <w:color w:val="000000"/>
          <w:sz w:val="36"/>
          <w:szCs w:val="36"/>
        </w:rPr>
        <w:t>1#-3</w:t>
      </w:r>
      <w:r w:rsidRPr="00880FCE">
        <w:rPr>
          <w:rFonts w:ascii="仿宋_GB2312" w:hAnsi="宋体" w:hint="eastAsia"/>
          <w:bCs/>
          <w:color w:val="000000"/>
          <w:sz w:val="36"/>
          <w:szCs w:val="36"/>
        </w:rPr>
        <w:t>号楼及</w:t>
      </w:r>
      <w:r w:rsidRPr="00880FCE">
        <w:rPr>
          <w:rFonts w:ascii="仿宋_GB2312" w:hAnsi="宋体"/>
          <w:bCs/>
          <w:color w:val="000000"/>
          <w:sz w:val="36"/>
          <w:szCs w:val="36"/>
        </w:rPr>
        <w:t>1#-P</w:t>
      </w:r>
      <w:r w:rsidRPr="00880FCE">
        <w:rPr>
          <w:rFonts w:ascii="仿宋_GB2312" w:hAnsi="宋体" w:hint="eastAsia"/>
          <w:bCs/>
          <w:color w:val="000000"/>
          <w:sz w:val="36"/>
          <w:szCs w:val="36"/>
        </w:rPr>
        <w:t>号楼</w:t>
      </w:r>
    </w:p>
    <w:p w14:paraId="339FFEF0" w14:textId="1D781131" w:rsidR="007B1C52" w:rsidRDefault="007B1C52" w:rsidP="002878A4">
      <w:pPr>
        <w:spacing w:line="440" w:lineRule="exact"/>
        <w:jc w:val="center"/>
        <w:rPr>
          <w:rFonts w:ascii="黑体" w:eastAsia="黑体" w:hAnsi="黑体"/>
          <w:bCs/>
          <w:color w:val="000000"/>
          <w:sz w:val="36"/>
          <w:szCs w:val="36"/>
        </w:rPr>
      </w:pPr>
      <w:r w:rsidRPr="00880FCE">
        <w:rPr>
          <w:rFonts w:ascii="黑体" w:eastAsia="黑体" w:hAnsi="黑体" w:hint="eastAsia"/>
          <w:bCs/>
          <w:color w:val="000000"/>
          <w:sz w:val="36"/>
          <w:szCs w:val="36"/>
        </w:rPr>
        <w:t>工业化建筑</w:t>
      </w:r>
      <w:r w:rsidR="004D05C8" w:rsidRPr="00880FCE">
        <w:rPr>
          <w:rFonts w:ascii="黑体" w:eastAsia="黑体" w:hAnsi="黑体" w:hint="eastAsia"/>
          <w:bCs/>
          <w:color w:val="000000"/>
          <w:sz w:val="36"/>
          <w:szCs w:val="36"/>
        </w:rPr>
        <w:t>（</w:t>
      </w:r>
      <w:r w:rsidRPr="00880FCE">
        <w:rPr>
          <w:rFonts w:ascii="黑体" w:eastAsia="黑体" w:hAnsi="黑体" w:hint="eastAsia"/>
          <w:bCs/>
          <w:color w:val="000000"/>
          <w:sz w:val="36"/>
          <w:szCs w:val="36"/>
        </w:rPr>
        <w:t>设计阶段</w:t>
      </w:r>
      <w:r w:rsidR="004D05C8" w:rsidRPr="00880FCE">
        <w:rPr>
          <w:rFonts w:ascii="黑体" w:eastAsia="黑体" w:hAnsi="黑体" w:hint="eastAsia"/>
          <w:bCs/>
          <w:color w:val="000000"/>
          <w:sz w:val="36"/>
          <w:szCs w:val="36"/>
        </w:rPr>
        <w:t>）</w:t>
      </w:r>
      <w:r w:rsidRPr="00880FCE">
        <w:rPr>
          <w:rFonts w:ascii="黑体" w:eastAsia="黑体" w:hAnsi="黑体" w:hint="eastAsia"/>
          <w:bCs/>
          <w:color w:val="000000"/>
          <w:sz w:val="36"/>
          <w:szCs w:val="36"/>
        </w:rPr>
        <w:t>认定专家论证意见</w:t>
      </w:r>
    </w:p>
    <w:p w14:paraId="1C04008D" w14:textId="02654933" w:rsidR="007B1C52" w:rsidRPr="00880FCE" w:rsidRDefault="007B1C52" w:rsidP="002878A4">
      <w:pPr>
        <w:snapToGrid w:val="0"/>
        <w:spacing w:line="400" w:lineRule="exact"/>
        <w:ind w:firstLineChars="200" w:firstLine="480"/>
        <w:rPr>
          <w:rFonts w:ascii="仿宋_GB2312" w:hAnsi="宋体"/>
          <w:bCs/>
          <w:color w:val="000000"/>
          <w:sz w:val="24"/>
        </w:rPr>
      </w:pPr>
      <w:r w:rsidRPr="00880FCE">
        <w:rPr>
          <w:rFonts w:ascii="仿宋_GB2312" w:hAnsi="宋体"/>
          <w:bCs/>
          <w:color w:val="000000"/>
          <w:sz w:val="24"/>
        </w:rPr>
        <w:t>2020</w:t>
      </w:r>
      <w:r w:rsidRPr="00880FCE">
        <w:rPr>
          <w:rFonts w:ascii="仿宋_GB2312" w:hAnsi="宋体" w:hint="eastAsia"/>
          <w:bCs/>
          <w:color w:val="000000"/>
          <w:sz w:val="24"/>
        </w:rPr>
        <w:t>年</w:t>
      </w:r>
      <w:r w:rsidR="00880FCE" w:rsidRPr="00880FCE">
        <w:rPr>
          <w:rFonts w:ascii="仿宋_GB2312" w:hAnsi="宋体"/>
          <w:bCs/>
          <w:color w:val="000000"/>
          <w:sz w:val="24"/>
        </w:rPr>
        <w:t>7</w:t>
      </w:r>
      <w:r w:rsidRPr="00880FCE">
        <w:rPr>
          <w:rFonts w:ascii="仿宋_GB2312" w:hAnsi="宋体" w:hint="eastAsia"/>
          <w:bCs/>
          <w:color w:val="000000"/>
          <w:sz w:val="24"/>
        </w:rPr>
        <w:t>月</w:t>
      </w:r>
      <w:r w:rsidRPr="00880FCE">
        <w:rPr>
          <w:rFonts w:ascii="仿宋_GB2312" w:hAnsi="宋体"/>
          <w:bCs/>
          <w:color w:val="000000"/>
          <w:sz w:val="24"/>
        </w:rPr>
        <w:t>2</w:t>
      </w:r>
      <w:r w:rsidR="00880FCE" w:rsidRPr="00880FCE">
        <w:rPr>
          <w:rFonts w:ascii="仿宋_GB2312" w:hAnsi="宋体"/>
          <w:bCs/>
          <w:color w:val="000000"/>
          <w:sz w:val="24"/>
        </w:rPr>
        <w:t>0</w:t>
      </w:r>
      <w:r w:rsidRPr="00880FCE">
        <w:rPr>
          <w:rFonts w:ascii="仿宋_GB2312" w:hAnsi="宋体" w:hint="eastAsia"/>
          <w:bCs/>
          <w:color w:val="000000"/>
          <w:sz w:val="24"/>
        </w:rPr>
        <w:t>日，福州软件园产业基地开发有限公司在福州市组织召开“软件园</w:t>
      </w:r>
      <w:r w:rsidRPr="00880FCE">
        <w:rPr>
          <w:rFonts w:ascii="仿宋_GB2312" w:hAnsi="宋体"/>
          <w:bCs/>
          <w:color w:val="000000"/>
          <w:sz w:val="24"/>
        </w:rPr>
        <w:t>E</w:t>
      </w:r>
      <w:r w:rsidRPr="00880FCE">
        <w:rPr>
          <w:rFonts w:ascii="仿宋_GB2312" w:hAnsi="宋体" w:hint="eastAsia"/>
          <w:bCs/>
          <w:color w:val="000000"/>
          <w:sz w:val="24"/>
        </w:rPr>
        <w:t>区</w:t>
      </w:r>
      <w:r w:rsidRPr="00880FCE">
        <w:rPr>
          <w:rFonts w:ascii="仿宋_GB2312" w:hAnsi="宋体"/>
          <w:bCs/>
          <w:color w:val="000000"/>
          <w:sz w:val="24"/>
        </w:rPr>
        <w:t>25</w:t>
      </w:r>
      <w:r w:rsidRPr="00880FCE">
        <w:rPr>
          <w:rFonts w:ascii="仿宋_GB2312" w:hAnsi="宋体" w:hint="eastAsia"/>
          <w:bCs/>
          <w:color w:val="000000"/>
          <w:sz w:val="24"/>
        </w:rPr>
        <w:t>地块福州软件园数字经济产业创新中心项目”工业化建筑设计阶段认定专家论证会，</w:t>
      </w:r>
      <w:r w:rsidRPr="00880FCE">
        <w:rPr>
          <w:rFonts w:ascii="仿宋_GB2312" w:hAnsi="宋体" w:hint="eastAsia"/>
          <w:bCs/>
          <w:sz w:val="24"/>
        </w:rPr>
        <w:t>评审专家、设计单位和施工图审查单位派员参加了会议。</w:t>
      </w:r>
    </w:p>
    <w:p w14:paraId="6095E003" w14:textId="77777777" w:rsidR="007B1C52" w:rsidRPr="00880FCE" w:rsidRDefault="007B1C52" w:rsidP="002878A4">
      <w:pPr>
        <w:snapToGrid w:val="0"/>
        <w:spacing w:line="400" w:lineRule="exact"/>
        <w:ind w:firstLineChars="200" w:firstLine="480"/>
        <w:rPr>
          <w:rFonts w:ascii="仿宋_GB2312" w:hAnsi="宋体"/>
          <w:bCs/>
          <w:sz w:val="24"/>
        </w:rPr>
      </w:pPr>
      <w:r w:rsidRPr="00880FCE">
        <w:rPr>
          <w:rFonts w:ascii="仿宋_GB2312" w:hAnsi="宋体" w:hint="eastAsia"/>
          <w:bCs/>
          <w:sz w:val="24"/>
        </w:rPr>
        <w:t>工程基本简况如下：本项目位于福州市软件园</w:t>
      </w:r>
      <w:r w:rsidRPr="00880FCE">
        <w:rPr>
          <w:rFonts w:ascii="仿宋_GB2312" w:hAnsi="宋体"/>
          <w:bCs/>
          <w:sz w:val="24"/>
        </w:rPr>
        <w:t>E</w:t>
      </w:r>
      <w:r w:rsidRPr="00880FCE">
        <w:rPr>
          <w:rFonts w:ascii="仿宋_GB2312" w:hAnsi="宋体" w:hint="eastAsia"/>
          <w:bCs/>
          <w:sz w:val="24"/>
        </w:rPr>
        <w:t>区地块。本项目总建筑面积为</w:t>
      </w:r>
      <w:r w:rsidRPr="00880FCE">
        <w:rPr>
          <w:rFonts w:ascii="仿宋_GB2312" w:hAnsi="宋体"/>
          <w:bCs/>
          <w:sz w:val="24"/>
        </w:rPr>
        <w:t>57332.78</w:t>
      </w:r>
      <w:r w:rsidRPr="00880FCE">
        <w:rPr>
          <w:rFonts w:ascii="仿宋_GB2312" w:hAnsi="宋体" w:hint="eastAsia"/>
          <w:bCs/>
          <w:sz w:val="24"/>
        </w:rPr>
        <w:t>㎡，</w:t>
      </w:r>
      <w:proofErr w:type="gramStart"/>
      <w:r w:rsidRPr="00880FCE">
        <w:rPr>
          <w:rFonts w:ascii="仿宋_GB2312" w:hAnsi="宋体" w:hint="eastAsia"/>
          <w:bCs/>
          <w:sz w:val="24"/>
        </w:rPr>
        <w:t>计容建筑面积</w:t>
      </w:r>
      <w:proofErr w:type="gramEnd"/>
      <w:r w:rsidRPr="00880FCE">
        <w:rPr>
          <w:rFonts w:ascii="仿宋_GB2312" w:hAnsi="宋体" w:hint="eastAsia"/>
          <w:bCs/>
          <w:sz w:val="24"/>
        </w:rPr>
        <w:t>为</w:t>
      </w:r>
      <w:r w:rsidRPr="00880FCE">
        <w:rPr>
          <w:rFonts w:ascii="仿宋_GB2312" w:hAnsi="宋体"/>
          <w:bCs/>
          <w:sz w:val="24"/>
        </w:rPr>
        <w:t>40974.48</w:t>
      </w:r>
      <w:r w:rsidRPr="00880FCE">
        <w:rPr>
          <w:rFonts w:ascii="仿宋_GB2312" w:hAnsi="宋体" w:hint="eastAsia"/>
          <w:bCs/>
          <w:sz w:val="24"/>
        </w:rPr>
        <w:t>㎡</w:t>
      </w:r>
      <w:r w:rsidRPr="00880FCE">
        <w:rPr>
          <w:rFonts w:ascii="仿宋_GB2312" w:hAnsi="宋体"/>
          <w:bCs/>
          <w:sz w:val="24"/>
        </w:rPr>
        <w:t>(</w:t>
      </w:r>
      <w:proofErr w:type="gramStart"/>
      <w:r w:rsidRPr="00880FCE">
        <w:rPr>
          <w:rFonts w:ascii="仿宋_GB2312" w:hAnsi="宋体" w:hint="eastAsia"/>
          <w:bCs/>
          <w:sz w:val="24"/>
        </w:rPr>
        <w:t>上部计容建筑面积</w:t>
      </w:r>
      <w:proofErr w:type="gramEnd"/>
      <w:r w:rsidRPr="00880FCE">
        <w:rPr>
          <w:rFonts w:ascii="仿宋_GB2312" w:hAnsi="宋体" w:hint="eastAsia"/>
          <w:bCs/>
          <w:sz w:val="24"/>
        </w:rPr>
        <w:t>为</w:t>
      </w:r>
      <w:r w:rsidRPr="00880FCE">
        <w:rPr>
          <w:rFonts w:ascii="仿宋_GB2312" w:hAnsi="宋体"/>
          <w:bCs/>
          <w:sz w:val="24"/>
        </w:rPr>
        <w:t>37188</w:t>
      </w:r>
      <w:r w:rsidRPr="00880FCE">
        <w:rPr>
          <w:rFonts w:ascii="仿宋_GB2312" w:hAnsi="宋体" w:hint="eastAsia"/>
          <w:bCs/>
          <w:sz w:val="24"/>
        </w:rPr>
        <w:t>㎡</w:t>
      </w:r>
      <w:r w:rsidRPr="00880FCE">
        <w:rPr>
          <w:rFonts w:ascii="仿宋_GB2312" w:hAnsi="宋体"/>
          <w:bCs/>
          <w:sz w:val="24"/>
        </w:rPr>
        <w:t>)</w:t>
      </w:r>
      <w:r w:rsidRPr="00880FCE">
        <w:rPr>
          <w:rFonts w:ascii="仿宋_GB2312" w:hAnsi="宋体" w:hint="eastAsia"/>
          <w:bCs/>
          <w:sz w:val="24"/>
        </w:rPr>
        <w:t>，由</w:t>
      </w:r>
      <w:r w:rsidRPr="00880FCE">
        <w:rPr>
          <w:rFonts w:ascii="仿宋_GB2312" w:hAnsi="宋体"/>
          <w:bCs/>
          <w:sz w:val="24"/>
        </w:rPr>
        <w:t>1#-1</w:t>
      </w:r>
      <w:r w:rsidRPr="00880FCE">
        <w:rPr>
          <w:rFonts w:ascii="仿宋_GB2312" w:hAnsi="宋体" w:hint="eastAsia"/>
          <w:bCs/>
          <w:sz w:val="24"/>
        </w:rPr>
        <w:t>号楼、</w:t>
      </w:r>
      <w:r w:rsidRPr="00880FCE">
        <w:rPr>
          <w:rFonts w:ascii="仿宋_GB2312" w:hAnsi="宋体"/>
          <w:bCs/>
          <w:sz w:val="24"/>
        </w:rPr>
        <w:t>1#-2</w:t>
      </w:r>
      <w:r w:rsidRPr="00880FCE">
        <w:rPr>
          <w:rFonts w:ascii="仿宋_GB2312" w:hAnsi="宋体" w:hint="eastAsia"/>
          <w:bCs/>
          <w:sz w:val="24"/>
        </w:rPr>
        <w:t>号楼、</w:t>
      </w:r>
      <w:r w:rsidRPr="00880FCE">
        <w:rPr>
          <w:rFonts w:ascii="仿宋_GB2312" w:hAnsi="宋体"/>
          <w:bCs/>
          <w:sz w:val="24"/>
        </w:rPr>
        <w:t>1#-3</w:t>
      </w:r>
      <w:r w:rsidRPr="00880FCE">
        <w:rPr>
          <w:rFonts w:ascii="仿宋_GB2312" w:hAnsi="宋体" w:hint="eastAsia"/>
          <w:bCs/>
          <w:sz w:val="24"/>
        </w:rPr>
        <w:t>号楼、</w:t>
      </w:r>
      <w:r w:rsidRPr="00880FCE">
        <w:rPr>
          <w:rFonts w:ascii="仿宋_GB2312" w:hAnsi="宋体"/>
          <w:bCs/>
          <w:sz w:val="24"/>
        </w:rPr>
        <w:t>1#-P</w:t>
      </w:r>
      <w:r w:rsidRPr="00880FCE">
        <w:rPr>
          <w:rFonts w:ascii="仿宋_GB2312" w:hAnsi="宋体" w:hint="eastAsia"/>
          <w:bCs/>
          <w:sz w:val="24"/>
        </w:rPr>
        <w:t>号楼和垃圾集散间组成，其中</w:t>
      </w:r>
      <w:r w:rsidRPr="00880FCE">
        <w:rPr>
          <w:rFonts w:ascii="仿宋_GB2312" w:hAnsi="宋体"/>
          <w:bCs/>
          <w:sz w:val="24"/>
        </w:rPr>
        <w:t>1#-1</w:t>
      </w:r>
      <w:r w:rsidRPr="00880FCE">
        <w:rPr>
          <w:rFonts w:ascii="仿宋_GB2312" w:hAnsi="宋体" w:hint="eastAsia"/>
          <w:bCs/>
          <w:sz w:val="24"/>
        </w:rPr>
        <w:t>号楼</w:t>
      </w:r>
      <w:r w:rsidRPr="00880FCE">
        <w:rPr>
          <w:rFonts w:ascii="仿宋_GB2312" w:hAnsi="宋体"/>
          <w:bCs/>
          <w:sz w:val="24"/>
        </w:rPr>
        <w:t>12</w:t>
      </w:r>
      <w:r w:rsidRPr="00880FCE">
        <w:rPr>
          <w:rFonts w:ascii="仿宋_GB2312" w:hAnsi="宋体" w:hint="eastAsia"/>
          <w:bCs/>
          <w:sz w:val="24"/>
        </w:rPr>
        <w:t>层，</w:t>
      </w:r>
      <w:r w:rsidRPr="00880FCE">
        <w:rPr>
          <w:rFonts w:ascii="仿宋_GB2312" w:hAnsi="宋体"/>
          <w:bCs/>
          <w:sz w:val="24"/>
        </w:rPr>
        <w:t>1#-2</w:t>
      </w:r>
      <w:r w:rsidRPr="00880FCE">
        <w:rPr>
          <w:rFonts w:ascii="仿宋_GB2312" w:hAnsi="宋体" w:hint="eastAsia"/>
          <w:bCs/>
          <w:sz w:val="24"/>
        </w:rPr>
        <w:t>号楼</w:t>
      </w:r>
      <w:r w:rsidRPr="00880FCE">
        <w:rPr>
          <w:rFonts w:ascii="仿宋_GB2312" w:hAnsi="宋体"/>
          <w:bCs/>
          <w:sz w:val="24"/>
        </w:rPr>
        <w:t>8</w:t>
      </w:r>
      <w:r w:rsidRPr="00880FCE">
        <w:rPr>
          <w:rFonts w:ascii="仿宋_GB2312" w:hAnsi="宋体" w:hint="eastAsia"/>
          <w:bCs/>
          <w:sz w:val="24"/>
        </w:rPr>
        <w:t>层，</w:t>
      </w:r>
      <w:r w:rsidRPr="00880FCE">
        <w:rPr>
          <w:rFonts w:ascii="仿宋_GB2312" w:hAnsi="宋体"/>
          <w:bCs/>
          <w:sz w:val="24"/>
        </w:rPr>
        <w:t>1#-3</w:t>
      </w:r>
      <w:r w:rsidRPr="00880FCE">
        <w:rPr>
          <w:rFonts w:ascii="仿宋_GB2312" w:hAnsi="宋体" w:hint="eastAsia"/>
          <w:bCs/>
          <w:sz w:val="24"/>
        </w:rPr>
        <w:t>号楼</w:t>
      </w:r>
      <w:r w:rsidRPr="00880FCE">
        <w:rPr>
          <w:rFonts w:ascii="仿宋_GB2312" w:hAnsi="宋体"/>
          <w:bCs/>
          <w:sz w:val="24"/>
        </w:rPr>
        <w:t>5</w:t>
      </w:r>
      <w:r w:rsidRPr="00880FCE">
        <w:rPr>
          <w:rFonts w:ascii="仿宋_GB2312" w:hAnsi="宋体" w:hint="eastAsia"/>
          <w:bCs/>
          <w:sz w:val="24"/>
        </w:rPr>
        <w:t>层，</w:t>
      </w:r>
      <w:r w:rsidRPr="00880FCE">
        <w:rPr>
          <w:rFonts w:ascii="仿宋_GB2312" w:hAnsi="宋体"/>
          <w:bCs/>
          <w:sz w:val="24"/>
        </w:rPr>
        <w:t>1#-P</w:t>
      </w:r>
      <w:r w:rsidRPr="00880FCE">
        <w:rPr>
          <w:rFonts w:ascii="仿宋_GB2312" w:hAnsi="宋体" w:hint="eastAsia"/>
          <w:bCs/>
          <w:sz w:val="24"/>
        </w:rPr>
        <w:t>号楼</w:t>
      </w:r>
      <w:r w:rsidRPr="00880FCE">
        <w:rPr>
          <w:rFonts w:ascii="仿宋_GB2312" w:hAnsi="宋体"/>
          <w:bCs/>
          <w:sz w:val="24"/>
        </w:rPr>
        <w:t>3</w:t>
      </w:r>
      <w:r w:rsidRPr="00880FCE">
        <w:rPr>
          <w:rFonts w:ascii="仿宋_GB2312" w:hAnsi="宋体" w:hint="eastAsia"/>
          <w:bCs/>
          <w:sz w:val="24"/>
        </w:rPr>
        <w:t>层，垃圾集散间</w:t>
      </w:r>
      <w:r w:rsidRPr="00880FCE">
        <w:rPr>
          <w:rFonts w:ascii="仿宋_GB2312" w:hAnsi="宋体"/>
          <w:bCs/>
          <w:sz w:val="24"/>
        </w:rPr>
        <w:t>1</w:t>
      </w:r>
      <w:r w:rsidRPr="00880FCE">
        <w:rPr>
          <w:rFonts w:ascii="仿宋_GB2312" w:hAnsi="宋体" w:hint="eastAsia"/>
          <w:bCs/>
          <w:sz w:val="24"/>
        </w:rPr>
        <w:t>层，各楼建筑高度均小于</w:t>
      </w:r>
      <w:r w:rsidRPr="00880FCE">
        <w:rPr>
          <w:rFonts w:ascii="仿宋_GB2312" w:hAnsi="宋体"/>
          <w:bCs/>
          <w:sz w:val="24"/>
        </w:rPr>
        <w:t>60</w:t>
      </w:r>
      <w:r w:rsidRPr="00880FCE">
        <w:rPr>
          <w:rFonts w:ascii="仿宋_GB2312" w:hAnsi="宋体" w:hint="eastAsia"/>
          <w:bCs/>
          <w:sz w:val="24"/>
        </w:rPr>
        <w:t>米。</w:t>
      </w:r>
      <w:r w:rsidRPr="00880FCE">
        <w:rPr>
          <w:rFonts w:ascii="仿宋_GB2312" w:hAnsi="宋体"/>
          <w:bCs/>
          <w:sz w:val="24"/>
        </w:rPr>
        <w:t>1#-1</w:t>
      </w:r>
      <w:r w:rsidRPr="00880FCE">
        <w:rPr>
          <w:rFonts w:ascii="仿宋_GB2312" w:hAnsi="宋体" w:hint="eastAsia"/>
          <w:bCs/>
          <w:sz w:val="24"/>
        </w:rPr>
        <w:t>号楼、</w:t>
      </w:r>
      <w:r w:rsidRPr="00880FCE">
        <w:rPr>
          <w:rFonts w:ascii="仿宋_GB2312" w:hAnsi="宋体"/>
          <w:bCs/>
          <w:sz w:val="24"/>
        </w:rPr>
        <w:t>1#-2</w:t>
      </w:r>
      <w:r w:rsidRPr="00880FCE">
        <w:rPr>
          <w:rFonts w:ascii="仿宋_GB2312" w:hAnsi="宋体" w:hint="eastAsia"/>
          <w:bCs/>
          <w:sz w:val="24"/>
        </w:rPr>
        <w:t>号楼、</w:t>
      </w:r>
      <w:r w:rsidRPr="00880FCE">
        <w:rPr>
          <w:rFonts w:ascii="仿宋_GB2312" w:hAnsi="宋体"/>
          <w:bCs/>
          <w:sz w:val="24"/>
        </w:rPr>
        <w:t>1#-3</w:t>
      </w:r>
      <w:r w:rsidRPr="00880FCE">
        <w:rPr>
          <w:rFonts w:ascii="仿宋_GB2312" w:hAnsi="宋体" w:hint="eastAsia"/>
          <w:bCs/>
          <w:sz w:val="24"/>
        </w:rPr>
        <w:t>号楼及</w:t>
      </w:r>
      <w:r w:rsidRPr="00880FCE">
        <w:rPr>
          <w:rFonts w:ascii="仿宋_GB2312" w:hAnsi="宋体"/>
          <w:bCs/>
          <w:sz w:val="24"/>
        </w:rPr>
        <w:t>1#-P</w:t>
      </w:r>
      <w:r w:rsidRPr="00880FCE">
        <w:rPr>
          <w:rFonts w:ascii="仿宋_GB2312" w:hAnsi="宋体" w:hint="eastAsia"/>
          <w:bCs/>
          <w:sz w:val="24"/>
        </w:rPr>
        <w:t>号楼采用预制装配式混凝土结构及工业化方式建造，其工业化建造的建筑</w:t>
      </w:r>
      <w:proofErr w:type="gramStart"/>
      <w:r w:rsidRPr="00880FCE">
        <w:rPr>
          <w:rFonts w:ascii="仿宋_GB2312" w:hAnsi="宋体" w:hint="eastAsia"/>
          <w:bCs/>
          <w:sz w:val="24"/>
        </w:rPr>
        <w:t>计容面积</w:t>
      </w:r>
      <w:proofErr w:type="gramEnd"/>
      <w:r w:rsidRPr="00880FCE">
        <w:rPr>
          <w:rFonts w:ascii="仿宋_GB2312" w:hAnsi="宋体" w:hint="eastAsia"/>
          <w:bCs/>
          <w:sz w:val="24"/>
        </w:rPr>
        <w:t>为</w:t>
      </w:r>
      <w:r w:rsidRPr="00880FCE">
        <w:rPr>
          <w:rFonts w:ascii="仿宋_GB2312" w:hAnsi="宋体"/>
          <w:bCs/>
          <w:sz w:val="24"/>
        </w:rPr>
        <w:t>37172.8</w:t>
      </w:r>
      <w:r w:rsidRPr="00880FCE">
        <w:rPr>
          <w:rFonts w:ascii="仿宋_GB2312" w:hAnsi="宋体" w:hint="eastAsia"/>
          <w:bCs/>
          <w:sz w:val="24"/>
        </w:rPr>
        <w:t>㎡，工业化建造的比例为</w:t>
      </w:r>
      <w:r w:rsidRPr="00880FCE">
        <w:rPr>
          <w:rFonts w:ascii="仿宋_GB2312" w:hAnsi="宋体"/>
          <w:bCs/>
          <w:sz w:val="24"/>
        </w:rPr>
        <w:t>37172.8/37188=99.96%&gt;50%</w:t>
      </w:r>
      <w:r w:rsidRPr="00880FCE">
        <w:rPr>
          <w:rFonts w:ascii="仿宋_GB2312" w:hAnsi="宋体" w:hint="eastAsia"/>
          <w:bCs/>
          <w:sz w:val="24"/>
        </w:rPr>
        <w:t>，满足福州市人民政府文件《福州市人民政府关于加快发展装配式建筑的实施意见（试行）》（</w:t>
      </w:r>
      <w:proofErr w:type="gramStart"/>
      <w:r w:rsidRPr="00880FCE">
        <w:rPr>
          <w:rFonts w:ascii="仿宋_GB2312" w:hAnsi="宋体" w:hint="eastAsia"/>
          <w:bCs/>
          <w:sz w:val="24"/>
        </w:rPr>
        <w:t>榕</w:t>
      </w:r>
      <w:proofErr w:type="gramEnd"/>
      <w:r w:rsidRPr="00880FCE">
        <w:rPr>
          <w:rFonts w:ascii="仿宋_GB2312" w:hAnsi="宋体" w:hint="eastAsia"/>
          <w:bCs/>
          <w:sz w:val="24"/>
        </w:rPr>
        <w:t>政综〔</w:t>
      </w:r>
      <w:r w:rsidRPr="00880FCE">
        <w:rPr>
          <w:rFonts w:ascii="仿宋_GB2312" w:hAnsi="宋体"/>
          <w:bCs/>
          <w:sz w:val="24"/>
        </w:rPr>
        <w:t>2017</w:t>
      </w:r>
      <w:r w:rsidRPr="00880FCE">
        <w:rPr>
          <w:rFonts w:ascii="仿宋_GB2312" w:hAnsi="宋体" w:hint="eastAsia"/>
          <w:bCs/>
          <w:sz w:val="24"/>
        </w:rPr>
        <w:t>〕</w:t>
      </w:r>
      <w:r w:rsidRPr="00880FCE">
        <w:rPr>
          <w:rFonts w:ascii="仿宋_GB2312" w:hAnsi="宋体"/>
          <w:bCs/>
          <w:sz w:val="24"/>
        </w:rPr>
        <w:t>1164</w:t>
      </w:r>
      <w:r w:rsidRPr="00880FCE">
        <w:rPr>
          <w:rFonts w:ascii="仿宋_GB2312" w:hAnsi="宋体" w:hint="eastAsia"/>
          <w:bCs/>
          <w:sz w:val="24"/>
        </w:rPr>
        <w:t>号）及福州市城乡建设局文件《福州市城乡建设局关于软件园</w:t>
      </w:r>
      <w:r w:rsidRPr="00880FCE">
        <w:rPr>
          <w:rFonts w:ascii="仿宋_GB2312" w:hAnsi="宋体"/>
          <w:bCs/>
          <w:sz w:val="24"/>
        </w:rPr>
        <w:t>E</w:t>
      </w:r>
      <w:r w:rsidRPr="00880FCE">
        <w:rPr>
          <w:rFonts w:ascii="仿宋_GB2312" w:hAnsi="宋体" w:hint="eastAsia"/>
          <w:bCs/>
          <w:sz w:val="24"/>
        </w:rPr>
        <w:t>区</w:t>
      </w:r>
      <w:r w:rsidRPr="00880FCE">
        <w:rPr>
          <w:rFonts w:ascii="仿宋_GB2312" w:hAnsi="宋体"/>
          <w:bCs/>
          <w:sz w:val="24"/>
        </w:rPr>
        <w:t>25</w:t>
      </w:r>
      <w:r w:rsidRPr="00880FCE">
        <w:rPr>
          <w:rFonts w:ascii="仿宋_GB2312" w:hAnsi="宋体" w:hint="eastAsia"/>
          <w:bCs/>
          <w:sz w:val="24"/>
        </w:rPr>
        <w:t>地块福州软件园数字经济产业创新中心项目列入装配式建筑试点的复函》（</w:t>
      </w:r>
      <w:proofErr w:type="gramStart"/>
      <w:r w:rsidRPr="00880FCE">
        <w:rPr>
          <w:rFonts w:ascii="仿宋_GB2312" w:hAnsi="宋体" w:hint="eastAsia"/>
          <w:bCs/>
          <w:sz w:val="24"/>
        </w:rPr>
        <w:t>榕</w:t>
      </w:r>
      <w:proofErr w:type="gramEnd"/>
      <w:r w:rsidRPr="00880FCE">
        <w:rPr>
          <w:rFonts w:ascii="仿宋_GB2312" w:hAnsi="宋体" w:hint="eastAsia"/>
          <w:bCs/>
          <w:sz w:val="24"/>
        </w:rPr>
        <w:t>建筑〔</w:t>
      </w:r>
      <w:r w:rsidRPr="00880FCE">
        <w:rPr>
          <w:rFonts w:ascii="仿宋_GB2312" w:hAnsi="宋体"/>
          <w:bCs/>
          <w:sz w:val="24"/>
        </w:rPr>
        <w:t>2019</w:t>
      </w:r>
      <w:r w:rsidRPr="00880FCE">
        <w:rPr>
          <w:rFonts w:ascii="仿宋_GB2312" w:hAnsi="宋体" w:hint="eastAsia"/>
          <w:bCs/>
          <w:sz w:val="24"/>
        </w:rPr>
        <w:t>〕</w:t>
      </w:r>
      <w:r w:rsidRPr="00880FCE">
        <w:rPr>
          <w:rFonts w:ascii="仿宋_GB2312" w:hAnsi="宋体"/>
          <w:bCs/>
          <w:sz w:val="24"/>
        </w:rPr>
        <w:t>76</w:t>
      </w:r>
      <w:r w:rsidRPr="00880FCE">
        <w:rPr>
          <w:rFonts w:ascii="仿宋_GB2312" w:hAnsi="宋体" w:hint="eastAsia"/>
          <w:bCs/>
          <w:sz w:val="24"/>
        </w:rPr>
        <w:t>号）的相关规定。</w:t>
      </w:r>
    </w:p>
    <w:p w14:paraId="70BFB52B" w14:textId="77777777" w:rsidR="007B1C52" w:rsidRPr="00880FCE" w:rsidRDefault="007B1C52" w:rsidP="00D473B5">
      <w:pPr>
        <w:snapToGrid w:val="0"/>
        <w:spacing w:line="240" w:lineRule="atLeast"/>
        <w:ind w:firstLineChars="200" w:firstLine="480"/>
        <w:rPr>
          <w:rFonts w:ascii="仿宋_GB2312" w:hAnsi="宋体"/>
          <w:bCs/>
          <w:sz w:val="24"/>
        </w:rPr>
      </w:pPr>
      <w:r w:rsidRPr="00880FCE">
        <w:rPr>
          <w:rFonts w:ascii="仿宋_GB2312" w:hAnsi="宋体" w:hint="eastAsia"/>
          <w:bCs/>
          <w:sz w:val="24"/>
        </w:rPr>
        <w:t>各单体建筑预制装配内容及预制率详下表：</w:t>
      </w:r>
    </w:p>
    <w:tbl>
      <w:tblPr>
        <w:tblW w:w="9062" w:type="dxa"/>
        <w:jc w:val="center"/>
        <w:tblLayout w:type="fixed"/>
        <w:tblCellMar>
          <w:left w:w="0" w:type="dxa"/>
          <w:right w:w="0" w:type="dxa"/>
        </w:tblCellMar>
        <w:tblLook w:val="00A0" w:firstRow="1" w:lastRow="0" w:firstColumn="1" w:lastColumn="0" w:noHBand="0" w:noVBand="0"/>
      </w:tblPr>
      <w:tblGrid>
        <w:gridCol w:w="557"/>
        <w:gridCol w:w="1522"/>
        <w:gridCol w:w="4148"/>
        <w:gridCol w:w="1560"/>
        <w:gridCol w:w="1275"/>
      </w:tblGrid>
      <w:tr w:rsidR="007B1C52" w:rsidRPr="00880FCE" w14:paraId="2A29B043" w14:textId="77777777" w:rsidTr="00880FCE">
        <w:trPr>
          <w:trHeight w:val="383"/>
          <w:jc w:val="center"/>
        </w:trPr>
        <w:tc>
          <w:tcPr>
            <w:tcW w:w="557" w:type="dxa"/>
            <w:tcBorders>
              <w:top w:val="single" w:sz="8" w:space="0" w:color="000000"/>
              <w:left w:val="single" w:sz="8" w:space="0" w:color="000000"/>
              <w:bottom w:val="single" w:sz="8" w:space="0" w:color="000000"/>
              <w:right w:val="single" w:sz="8" w:space="0" w:color="000000"/>
            </w:tcBorders>
            <w:vAlign w:val="center"/>
          </w:tcPr>
          <w:p w14:paraId="059629E9"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hint="eastAsia"/>
                <w:bCs/>
                <w:color w:val="000000"/>
                <w:sz w:val="24"/>
              </w:rPr>
              <w:t>序号</w:t>
            </w:r>
          </w:p>
        </w:tc>
        <w:tc>
          <w:tcPr>
            <w:tcW w:w="1522" w:type="dxa"/>
            <w:tcBorders>
              <w:top w:val="single" w:sz="8" w:space="0" w:color="000000"/>
              <w:left w:val="single" w:sz="8" w:space="0" w:color="000000"/>
              <w:bottom w:val="single" w:sz="4" w:space="0" w:color="auto"/>
              <w:right w:val="single" w:sz="8" w:space="0" w:color="000000"/>
            </w:tcBorders>
            <w:tcMar>
              <w:top w:w="72" w:type="dxa"/>
              <w:left w:w="144" w:type="dxa"/>
              <w:bottom w:w="72" w:type="dxa"/>
              <w:right w:w="144" w:type="dxa"/>
            </w:tcMar>
            <w:vAlign w:val="center"/>
          </w:tcPr>
          <w:p w14:paraId="6CD289B6"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hint="eastAsia"/>
                <w:bCs/>
                <w:color w:val="000000"/>
                <w:sz w:val="24"/>
              </w:rPr>
              <w:t>单体名称</w:t>
            </w:r>
          </w:p>
        </w:tc>
        <w:tc>
          <w:tcPr>
            <w:tcW w:w="4148" w:type="dxa"/>
            <w:tcBorders>
              <w:top w:val="single" w:sz="8" w:space="0" w:color="000000"/>
              <w:left w:val="single" w:sz="8" w:space="0" w:color="000000"/>
              <w:bottom w:val="single" w:sz="4" w:space="0" w:color="auto"/>
              <w:right w:val="single" w:sz="8" w:space="0" w:color="000000"/>
            </w:tcBorders>
            <w:tcMar>
              <w:top w:w="72" w:type="dxa"/>
              <w:left w:w="144" w:type="dxa"/>
              <w:bottom w:w="72" w:type="dxa"/>
              <w:right w:w="144" w:type="dxa"/>
            </w:tcMar>
            <w:vAlign w:val="center"/>
          </w:tcPr>
          <w:p w14:paraId="63FA028D" w14:textId="77777777" w:rsidR="007B1C52" w:rsidRPr="00880FCE" w:rsidRDefault="007B1C52" w:rsidP="005A2643">
            <w:pPr>
              <w:spacing w:line="240" w:lineRule="exact"/>
              <w:ind w:firstLineChars="100" w:firstLine="240"/>
              <w:jc w:val="center"/>
              <w:rPr>
                <w:rFonts w:ascii="宋体" w:eastAsia="宋体"/>
                <w:bCs/>
                <w:color w:val="000000"/>
                <w:sz w:val="24"/>
              </w:rPr>
            </w:pPr>
            <w:r w:rsidRPr="00880FCE">
              <w:rPr>
                <w:rFonts w:ascii="宋体" w:hAnsi="宋体" w:hint="eastAsia"/>
                <w:bCs/>
                <w:color w:val="000000"/>
                <w:sz w:val="24"/>
              </w:rPr>
              <w:t>预制装配内容</w:t>
            </w:r>
          </w:p>
        </w:tc>
        <w:tc>
          <w:tcPr>
            <w:tcW w:w="15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0940C9BF"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hint="eastAsia"/>
                <w:bCs/>
                <w:color w:val="000000"/>
                <w:sz w:val="24"/>
              </w:rPr>
              <w:t>分项预制率</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58854CB" w14:textId="77777777" w:rsidR="007B1C52" w:rsidRPr="00880FCE" w:rsidRDefault="007B1C52" w:rsidP="00E0083D">
            <w:pPr>
              <w:spacing w:line="300" w:lineRule="exact"/>
              <w:jc w:val="center"/>
              <w:rPr>
                <w:rFonts w:ascii="宋体" w:eastAsia="宋体"/>
                <w:bCs/>
                <w:color w:val="000000"/>
                <w:sz w:val="24"/>
              </w:rPr>
            </w:pPr>
            <w:r w:rsidRPr="00880FCE">
              <w:rPr>
                <w:rFonts w:ascii="宋体" w:hAnsi="宋体" w:hint="eastAsia"/>
                <w:bCs/>
                <w:color w:val="000000"/>
                <w:sz w:val="24"/>
              </w:rPr>
              <w:t>总预制率</w:t>
            </w:r>
          </w:p>
        </w:tc>
      </w:tr>
      <w:tr w:rsidR="007B1C52" w:rsidRPr="00880FCE" w14:paraId="6AE0B0B3" w14:textId="77777777" w:rsidTr="00880FCE">
        <w:trPr>
          <w:trHeight w:val="403"/>
          <w:jc w:val="center"/>
        </w:trPr>
        <w:tc>
          <w:tcPr>
            <w:tcW w:w="557" w:type="dxa"/>
            <w:vMerge w:val="restart"/>
            <w:tcBorders>
              <w:top w:val="single" w:sz="8" w:space="0" w:color="000000"/>
              <w:left w:val="single" w:sz="8" w:space="0" w:color="000000"/>
              <w:right w:val="single" w:sz="4" w:space="0" w:color="auto"/>
            </w:tcBorders>
            <w:vAlign w:val="center"/>
          </w:tcPr>
          <w:p w14:paraId="1C5BBCE1" w14:textId="77777777" w:rsidR="007B1C52" w:rsidRPr="00880FCE" w:rsidRDefault="007B1C52" w:rsidP="005A2643">
            <w:pPr>
              <w:spacing w:line="240" w:lineRule="exact"/>
              <w:jc w:val="center"/>
              <w:rPr>
                <w:rFonts w:ascii="仿宋_GB2312" w:hAnsi="宋体"/>
                <w:bCs/>
                <w:color w:val="000000"/>
                <w:sz w:val="24"/>
              </w:rPr>
            </w:pPr>
            <w:r w:rsidRPr="00880FCE">
              <w:rPr>
                <w:rFonts w:ascii="仿宋_GB2312" w:hAnsi="宋体"/>
                <w:bCs/>
                <w:color w:val="000000"/>
                <w:sz w:val="24"/>
              </w:rPr>
              <w:t>1</w:t>
            </w:r>
          </w:p>
        </w:tc>
        <w:tc>
          <w:tcPr>
            <w:tcW w:w="1522" w:type="dxa"/>
            <w:vMerge w:val="restar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0669C29B" w14:textId="77777777" w:rsidR="007B1C52" w:rsidRPr="00880FCE" w:rsidRDefault="007B1C52" w:rsidP="005A2643">
            <w:pPr>
              <w:spacing w:line="240" w:lineRule="exact"/>
              <w:jc w:val="center"/>
              <w:rPr>
                <w:rFonts w:ascii="宋体" w:eastAsia="宋体"/>
                <w:bCs/>
                <w:color w:val="000000"/>
                <w:sz w:val="24"/>
              </w:rPr>
            </w:pPr>
            <w:r w:rsidRPr="00880FCE">
              <w:rPr>
                <w:rFonts w:ascii="仿宋_GB2312" w:hAnsi="宋体"/>
                <w:bCs/>
                <w:color w:val="000000"/>
                <w:sz w:val="24"/>
              </w:rPr>
              <w:t>1#-1</w:t>
            </w:r>
            <w:r w:rsidRPr="00880FCE">
              <w:rPr>
                <w:rFonts w:ascii="仿宋_GB2312" w:hAnsi="宋体" w:hint="eastAsia"/>
                <w:bCs/>
                <w:color w:val="000000"/>
                <w:sz w:val="24"/>
              </w:rPr>
              <w:t>号楼</w:t>
            </w:r>
          </w:p>
        </w:tc>
        <w:tc>
          <w:tcPr>
            <w:tcW w:w="414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225B76FF" w14:textId="77777777" w:rsidR="004D05C8" w:rsidRPr="00880FCE" w:rsidRDefault="004D05C8" w:rsidP="004D05C8">
            <w:pPr>
              <w:spacing w:line="240" w:lineRule="exact"/>
              <w:jc w:val="center"/>
              <w:rPr>
                <w:rFonts w:ascii="宋体" w:hAnsi="宋体"/>
                <w:bCs/>
                <w:color w:val="000000"/>
                <w:sz w:val="24"/>
              </w:rPr>
            </w:pPr>
            <w:r w:rsidRPr="00880FCE">
              <w:rPr>
                <w:rFonts w:ascii="宋体" w:hAnsi="宋体" w:hint="eastAsia"/>
                <w:bCs/>
                <w:color w:val="000000"/>
                <w:sz w:val="24"/>
              </w:rPr>
              <w:t>预制叠合板、预制叠合梁</w:t>
            </w:r>
          </w:p>
          <w:p w14:paraId="29F0E171" w14:textId="77777777" w:rsidR="007B1C52" w:rsidRPr="00880FCE" w:rsidRDefault="004D05C8" w:rsidP="004D05C8">
            <w:pPr>
              <w:spacing w:line="240" w:lineRule="exact"/>
              <w:jc w:val="center"/>
              <w:rPr>
                <w:rFonts w:ascii="宋体" w:eastAsia="宋体"/>
                <w:bCs/>
                <w:color w:val="000000"/>
                <w:sz w:val="24"/>
              </w:rPr>
            </w:pPr>
            <w:r w:rsidRPr="00880FCE">
              <w:rPr>
                <w:rFonts w:ascii="宋体" w:hAnsi="宋体" w:hint="eastAsia"/>
                <w:bCs/>
                <w:color w:val="000000"/>
                <w:sz w:val="24"/>
              </w:rPr>
              <w:t>预制楼梯、预制女儿墙</w:t>
            </w:r>
          </w:p>
        </w:tc>
        <w:tc>
          <w:tcPr>
            <w:tcW w:w="1560" w:type="dxa"/>
            <w:tcBorders>
              <w:top w:val="single" w:sz="8" w:space="0" w:color="000000"/>
              <w:left w:val="single" w:sz="4" w:space="0" w:color="auto"/>
              <w:bottom w:val="single" w:sz="8" w:space="0" w:color="000000"/>
              <w:right w:val="single" w:sz="8" w:space="0" w:color="000000"/>
            </w:tcBorders>
            <w:tcMar>
              <w:top w:w="72" w:type="dxa"/>
              <w:left w:w="144" w:type="dxa"/>
              <w:bottom w:w="72" w:type="dxa"/>
              <w:right w:w="144" w:type="dxa"/>
            </w:tcMar>
            <w:vAlign w:val="center"/>
          </w:tcPr>
          <w:p w14:paraId="1905667F"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bCs/>
                <w:color w:val="000000"/>
                <w:sz w:val="24"/>
              </w:rPr>
              <w:t>23.01%</w:t>
            </w:r>
          </w:p>
        </w:tc>
        <w:tc>
          <w:tcPr>
            <w:tcW w:w="1275" w:type="dxa"/>
            <w:vMerge w:val="restart"/>
            <w:tcBorders>
              <w:top w:val="single" w:sz="8" w:space="0" w:color="000000"/>
              <w:left w:val="single" w:sz="8" w:space="0" w:color="000000"/>
              <w:right w:val="single" w:sz="8" w:space="0" w:color="000000"/>
            </w:tcBorders>
            <w:tcMar>
              <w:top w:w="72" w:type="dxa"/>
              <w:left w:w="144" w:type="dxa"/>
              <w:bottom w:w="72" w:type="dxa"/>
              <w:right w:w="144" w:type="dxa"/>
            </w:tcMar>
            <w:vAlign w:val="center"/>
          </w:tcPr>
          <w:p w14:paraId="7F39E3AF" w14:textId="77777777" w:rsidR="007B1C52" w:rsidRPr="00880FCE" w:rsidRDefault="007B1C52" w:rsidP="00E0083D">
            <w:pPr>
              <w:spacing w:line="300" w:lineRule="exact"/>
              <w:jc w:val="center"/>
              <w:rPr>
                <w:rFonts w:ascii="宋体" w:eastAsia="宋体"/>
                <w:bCs/>
                <w:color w:val="000000"/>
                <w:sz w:val="24"/>
              </w:rPr>
            </w:pPr>
            <w:r w:rsidRPr="00880FCE">
              <w:rPr>
                <w:rFonts w:ascii="宋体" w:hAnsi="宋体"/>
                <w:bCs/>
                <w:color w:val="000000"/>
                <w:sz w:val="24"/>
              </w:rPr>
              <w:t>30.16%</w:t>
            </w:r>
          </w:p>
        </w:tc>
      </w:tr>
      <w:tr w:rsidR="007B1C52" w:rsidRPr="00880FCE" w14:paraId="0FAE6C7E" w14:textId="77777777" w:rsidTr="00880FCE">
        <w:trPr>
          <w:trHeight w:val="450"/>
          <w:jc w:val="center"/>
        </w:trPr>
        <w:tc>
          <w:tcPr>
            <w:tcW w:w="557" w:type="dxa"/>
            <w:vMerge/>
            <w:tcBorders>
              <w:left w:val="single" w:sz="8" w:space="0" w:color="000000"/>
              <w:bottom w:val="single" w:sz="8" w:space="0" w:color="000000"/>
              <w:right w:val="single" w:sz="4" w:space="0" w:color="auto"/>
            </w:tcBorders>
            <w:vAlign w:val="center"/>
          </w:tcPr>
          <w:p w14:paraId="48E7B43E" w14:textId="77777777" w:rsidR="007B1C52" w:rsidRPr="00880FCE" w:rsidRDefault="007B1C52" w:rsidP="005A2643">
            <w:pPr>
              <w:spacing w:line="240" w:lineRule="exact"/>
              <w:jc w:val="center"/>
              <w:rPr>
                <w:rFonts w:ascii="仿宋_GB2312" w:hAnsi="宋体"/>
                <w:bCs/>
                <w:color w:val="000000"/>
                <w:sz w:val="24"/>
              </w:rPr>
            </w:pPr>
          </w:p>
        </w:tc>
        <w:tc>
          <w:tcPr>
            <w:tcW w:w="1522" w:type="dxa"/>
            <w:vMerge/>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BFA9A0B" w14:textId="77777777" w:rsidR="007B1C52" w:rsidRPr="00880FCE" w:rsidRDefault="007B1C52" w:rsidP="005A2643">
            <w:pPr>
              <w:spacing w:line="240" w:lineRule="exact"/>
              <w:jc w:val="center"/>
              <w:rPr>
                <w:rFonts w:ascii="仿宋_GB2312" w:hAnsi="宋体"/>
                <w:bCs/>
                <w:color w:val="000000"/>
                <w:sz w:val="24"/>
              </w:rPr>
            </w:pPr>
          </w:p>
        </w:tc>
        <w:tc>
          <w:tcPr>
            <w:tcW w:w="4148"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57F48AEF"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hint="eastAsia"/>
                <w:bCs/>
                <w:color w:val="000000"/>
                <w:sz w:val="24"/>
              </w:rPr>
              <w:t>预制内墙板、室内装修一体化施工并实现成品房交付使用</w:t>
            </w:r>
          </w:p>
        </w:tc>
        <w:tc>
          <w:tcPr>
            <w:tcW w:w="1560" w:type="dxa"/>
            <w:tcBorders>
              <w:top w:val="single" w:sz="8" w:space="0" w:color="000000"/>
              <w:left w:val="single" w:sz="4" w:space="0" w:color="auto"/>
              <w:bottom w:val="single" w:sz="4" w:space="0" w:color="auto"/>
              <w:right w:val="single" w:sz="8" w:space="0" w:color="000000"/>
            </w:tcBorders>
            <w:tcMar>
              <w:top w:w="72" w:type="dxa"/>
              <w:left w:w="144" w:type="dxa"/>
              <w:bottom w:w="72" w:type="dxa"/>
              <w:right w:w="144" w:type="dxa"/>
            </w:tcMar>
            <w:vAlign w:val="center"/>
          </w:tcPr>
          <w:p w14:paraId="5B82E53D"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bCs/>
                <w:color w:val="000000"/>
                <w:sz w:val="24"/>
              </w:rPr>
              <w:t>7.09%</w:t>
            </w:r>
          </w:p>
        </w:tc>
        <w:tc>
          <w:tcPr>
            <w:tcW w:w="1275" w:type="dxa"/>
            <w:vMerge/>
            <w:tcBorders>
              <w:left w:val="single" w:sz="8" w:space="0" w:color="000000"/>
              <w:bottom w:val="single" w:sz="8" w:space="0" w:color="000000"/>
              <w:right w:val="single" w:sz="8" w:space="0" w:color="000000"/>
            </w:tcBorders>
            <w:tcMar>
              <w:top w:w="72" w:type="dxa"/>
              <w:left w:w="144" w:type="dxa"/>
              <w:bottom w:w="72" w:type="dxa"/>
              <w:right w:w="144" w:type="dxa"/>
            </w:tcMar>
            <w:vAlign w:val="center"/>
          </w:tcPr>
          <w:p w14:paraId="47A13D03" w14:textId="77777777" w:rsidR="007B1C52" w:rsidRPr="00880FCE" w:rsidRDefault="007B1C52" w:rsidP="00E0083D">
            <w:pPr>
              <w:spacing w:line="300" w:lineRule="exact"/>
              <w:jc w:val="center"/>
              <w:rPr>
                <w:rFonts w:ascii="宋体" w:eastAsia="宋体"/>
                <w:bCs/>
                <w:color w:val="000000"/>
                <w:sz w:val="24"/>
              </w:rPr>
            </w:pPr>
          </w:p>
        </w:tc>
      </w:tr>
      <w:tr w:rsidR="007B1C52" w:rsidRPr="00880FCE" w14:paraId="1CED2FB2" w14:textId="77777777" w:rsidTr="00880FCE">
        <w:trPr>
          <w:trHeight w:val="170"/>
          <w:jc w:val="center"/>
        </w:trPr>
        <w:tc>
          <w:tcPr>
            <w:tcW w:w="557" w:type="dxa"/>
            <w:vMerge w:val="restart"/>
            <w:tcBorders>
              <w:top w:val="single" w:sz="8" w:space="0" w:color="000000"/>
              <w:left w:val="single" w:sz="8" w:space="0" w:color="000000"/>
              <w:right w:val="single" w:sz="8" w:space="0" w:color="000000"/>
            </w:tcBorders>
            <w:vAlign w:val="center"/>
          </w:tcPr>
          <w:p w14:paraId="3184CD6E" w14:textId="77777777" w:rsidR="007B1C52" w:rsidRPr="00880FCE" w:rsidRDefault="007B1C52" w:rsidP="005A2643">
            <w:pPr>
              <w:spacing w:line="240" w:lineRule="exact"/>
              <w:jc w:val="center"/>
              <w:rPr>
                <w:rFonts w:ascii="仿宋_GB2312" w:hAnsi="宋体"/>
                <w:bCs/>
                <w:color w:val="000000"/>
                <w:sz w:val="24"/>
              </w:rPr>
            </w:pPr>
            <w:r w:rsidRPr="00880FCE">
              <w:rPr>
                <w:rFonts w:ascii="仿宋_GB2312" w:hAnsi="宋体"/>
                <w:bCs/>
                <w:color w:val="000000"/>
                <w:sz w:val="24"/>
              </w:rPr>
              <w:t>2</w:t>
            </w:r>
          </w:p>
        </w:tc>
        <w:tc>
          <w:tcPr>
            <w:tcW w:w="1522" w:type="dxa"/>
            <w:vMerge w:val="restart"/>
            <w:tcBorders>
              <w:top w:val="single" w:sz="4" w:space="0" w:color="auto"/>
              <w:left w:val="single" w:sz="8" w:space="0" w:color="000000"/>
              <w:right w:val="single" w:sz="8" w:space="0" w:color="000000"/>
            </w:tcBorders>
            <w:tcMar>
              <w:top w:w="72" w:type="dxa"/>
              <w:left w:w="144" w:type="dxa"/>
              <w:bottom w:w="72" w:type="dxa"/>
              <w:right w:w="144" w:type="dxa"/>
            </w:tcMar>
            <w:vAlign w:val="center"/>
          </w:tcPr>
          <w:p w14:paraId="4EC9BC84" w14:textId="77777777" w:rsidR="007B1C52" w:rsidRPr="00880FCE" w:rsidRDefault="007B1C52" w:rsidP="005A2643">
            <w:pPr>
              <w:spacing w:line="240" w:lineRule="exact"/>
              <w:jc w:val="center"/>
              <w:rPr>
                <w:rFonts w:ascii="仿宋_GB2312" w:hAnsi="宋体"/>
                <w:bCs/>
                <w:color w:val="000000"/>
                <w:sz w:val="24"/>
              </w:rPr>
            </w:pPr>
            <w:r w:rsidRPr="00880FCE">
              <w:rPr>
                <w:rFonts w:ascii="仿宋_GB2312" w:hAnsi="宋体"/>
                <w:bCs/>
                <w:color w:val="000000"/>
                <w:sz w:val="24"/>
              </w:rPr>
              <w:t>1#-2</w:t>
            </w:r>
            <w:r w:rsidRPr="00880FCE">
              <w:rPr>
                <w:rFonts w:ascii="仿宋_GB2312" w:hAnsi="宋体" w:hint="eastAsia"/>
                <w:bCs/>
                <w:color w:val="000000"/>
                <w:sz w:val="24"/>
              </w:rPr>
              <w:t>号楼</w:t>
            </w:r>
          </w:p>
        </w:tc>
        <w:tc>
          <w:tcPr>
            <w:tcW w:w="4148" w:type="dxa"/>
            <w:tcBorders>
              <w:top w:val="single" w:sz="4" w:space="0" w:color="auto"/>
              <w:left w:val="single" w:sz="8" w:space="0" w:color="000000"/>
              <w:bottom w:val="single" w:sz="8" w:space="0" w:color="000000"/>
              <w:right w:val="single" w:sz="4" w:space="0" w:color="auto"/>
            </w:tcBorders>
            <w:tcMar>
              <w:top w:w="72" w:type="dxa"/>
              <w:left w:w="144" w:type="dxa"/>
              <w:bottom w:w="72" w:type="dxa"/>
              <w:right w:w="144" w:type="dxa"/>
            </w:tcMar>
            <w:vAlign w:val="center"/>
          </w:tcPr>
          <w:p w14:paraId="2C51FFB4" w14:textId="77777777" w:rsidR="004D05C8" w:rsidRPr="00880FCE" w:rsidRDefault="007B1C52" w:rsidP="005A2643">
            <w:pPr>
              <w:spacing w:line="240" w:lineRule="exact"/>
              <w:jc w:val="center"/>
              <w:rPr>
                <w:rFonts w:ascii="宋体" w:hAnsi="宋体"/>
                <w:bCs/>
                <w:color w:val="000000"/>
                <w:sz w:val="24"/>
              </w:rPr>
            </w:pPr>
            <w:r w:rsidRPr="00880FCE">
              <w:rPr>
                <w:rFonts w:ascii="宋体" w:hAnsi="宋体" w:hint="eastAsia"/>
                <w:bCs/>
                <w:color w:val="000000"/>
                <w:sz w:val="24"/>
              </w:rPr>
              <w:t>预制叠合板、预制叠合梁</w:t>
            </w:r>
          </w:p>
          <w:p w14:paraId="60CB5782" w14:textId="77777777" w:rsidR="007B1C52" w:rsidRPr="00880FCE" w:rsidRDefault="007B1C52" w:rsidP="004D05C8">
            <w:pPr>
              <w:spacing w:line="240" w:lineRule="exact"/>
              <w:jc w:val="center"/>
              <w:rPr>
                <w:rFonts w:ascii="宋体" w:eastAsia="宋体"/>
                <w:bCs/>
                <w:color w:val="000000"/>
                <w:sz w:val="24"/>
              </w:rPr>
            </w:pPr>
            <w:r w:rsidRPr="00880FCE">
              <w:rPr>
                <w:rFonts w:ascii="宋体" w:hAnsi="宋体" w:hint="eastAsia"/>
                <w:bCs/>
                <w:color w:val="000000"/>
                <w:sz w:val="24"/>
              </w:rPr>
              <w:t>预制楼梯</w:t>
            </w:r>
            <w:r w:rsidR="004D05C8" w:rsidRPr="00880FCE">
              <w:rPr>
                <w:rFonts w:ascii="宋体" w:hAnsi="宋体" w:hint="eastAsia"/>
                <w:bCs/>
                <w:color w:val="000000"/>
                <w:sz w:val="24"/>
              </w:rPr>
              <w:t>、</w:t>
            </w:r>
            <w:r w:rsidRPr="00880FCE">
              <w:rPr>
                <w:rFonts w:ascii="宋体" w:hAnsi="宋体" w:hint="eastAsia"/>
                <w:bCs/>
                <w:color w:val="000000"/>
                <w:sz w:val="24"/>
              </w:rPr>
              <w:t>预制女儿墙</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3E8FC20"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bCs/>
                <w:color w:val="000000"/>
                <w:sz w:val="24"/>
              </w:rPr>
              <w:t>23.38%</w:t>
            </w:r>
          </w:p>
        </w:tc>
        <w:tc>
          <w:tcPr>
            <w:tcW w:w="1275" w:type="dxa"/>
            <w:vMerge w:val="restart"/>
            <w:tcBorders>
              <w:top w:val="single" w:sz="8" w:space="0" w:color="000000"/>
              <w:left w:val="single" w:sz="4" w:space="0" w:color="auto"/>
              <w:right w:val="single" w:sz="8" w:space="0" w:color="000000"/>
            </w:tcBorders>
            <w:tcMar>
              <w:top w:w="72" w:type="dxa"/>
              <w:left w:w="144" w:type="dxa"/>
              <w:bottom w:w="72" w:type="dxa"/>
              <w:right w:w="144" w:type="dxa"/>
            </w:tcMar>
            <w:vAlign w:val="center"/>
          </w:tcPr>
          <w:p w14:paraId="4C1D5907" w14:textId="77777777" w:rsidR="007B1C52" w:rsidRPr="00880FCE" w:rsidRDefault="007B1C52" w:rsidP="00E0083D">
            <w:pPr>
              <w:spacing w:line="300" w:lineRule="exact"/>
              <w:jc w:val="center"/>
              <w:rPr>
                <w:rFonts w:ascii="宋体" w:eastAsia="宋体"/>
                <w:bCs/>
                <w:color w:val="000000"/>
                <w:sz w:val="24"/>
              </w:rPr>
            </w:pPr>
            <w:r w:rsidRPr="00880FCE">
              <w:rPr>
                <w:rFonts w:ascii="宋体" w:hAnsi="宋体"/>
                <w:bCs/>
                <w:color w:val="000000"/>
                <w:sz w:val="24"/>
              </w:rPr>
              <w:t>30.15%</w:t>
            </w:r>
          </w:p>
        </w:tc>
      </w:tr>
      <w:tr w:rsidR="007B1C52" w:rsidRPr="00880FCE" w14:paraId="30825CDF" w14:textId="77777777" w:rsidTr="00880FCE">
        <w:trPr>
          <w:trHeight w:val="170"/>
          <w:jc w:val="center"/>
        </w:trPr>
        <w:tc>
          <w:tcPr>
            <w:tcW w:w="557" w:type="dxa"/>
            <w:vMerge/>
            <w:tcBorders>
              <w:left w:val="single" w:sz="8" w:space="0" w:color="000000"/>
              <w:bottom w:val="single" w:sz="8" w:space="0" w:color="000000"/>
              <w:right w:val="single" w:sz="8" w:space="0" w:color="000000"/>
            </w:tcBorders>
            <w:vAlign w:val="center"/>
          </w:tcPr>
          <w:p w14:paraId="524B8473" w14:textId="77777777" w:rsidR="007B1C52" w:rsidRPr="00880FCE" w:rsidRDefault="007B1C52" w:rsidP="005A2643">
            <w:pPr>
              <w:spacing w:line="240" w:lineRule="exact"/>
              <w:jc w:val="center"/>
              <w:rPr>
                <w:rFonts w:ascii="仿宋_GB2312" w:hAnsi="宋体"/>
                <w:bCs/>
                <w:color w:val="000000"/>
                <w:sz w:val="24"/>
              </w:rPr>
            </w:pPr>
          </w:p>
        </w:tc>
        <w:tc>
          <w:tcPr>
            <w:tcW w:w="1522" w:type="dxa"/>
            <w:vMerge/>
            <w:tcBorders>
              <w:left w:val="single" w:sz="8" w:space="0" w:color="000000"/>
              <w:bottom w:val="single" w:sz="8" w:space="0" w:color="000000"/>
              <w:right w:val="single" w:sz="8" w:space="0" w:color="000000"/>
            </w:tcBorders>
            <w:tcMar>
              <w:top w:w="72" w:type="dxa"/>
              <w:left w:w="144" w:type="dxa"/>
              <w:bottom w:w="72" w:type="dxa"/>
              <w:right w:w="144" w:type="dxa"/>
            </w:tcMar>
            <w:vAlign w:val="center"/>
          </w:tcPr>
          <w:p w14:paraId="3624FFE0" w14:textId="77777777" w:rsidR="007B1C52" w:rsidRPr="00880FCE" w:rsidRDefault="007B1C52" w:rsidP="005A2643">
            <w:pPr>
              <w:spacing w:line="240" w:lineRule="exact"/>
              <w:jc w:val="center"/>
              <w:rPr>
                <w:rFonts w:ascii="仿宋_GB2312" w:hAnsi="宋体"/>
                <w:bCs/>
                <w:color w:val="000000"/>
                <w:sz w:val="24"/>
              </w:rPr>
            </w:pPr>
          </w:p>
        </w:tc>
        <w:tc>
          <w:tcPr>
            <w:tcW w:w="4148" w:type="dxa"/>
            <w:tcBorders>
              <w:top w:val="single" w:sz="8" w:space="0" w:color="000000"/>
              <w:left w:val="single" w:sz="8" w:space="0" w:color="000000"/>
              <w:bottom w:val="single" w:sz="8" w:space="0" w:color="000000"/>
              <w:right w:val="single" w:sz="4" w:space="0" w:color="auto"/>
            </w:tcBorders>
            <w:tcMar>
              <w:top w:w="72" w:type="dxa"/>
              <w:left w:w="144" w:type="dxa"/>
              <w:bottom w:w="72" w:type="dxa"/>
              <w:right w:w="144" w:type="dxa"/>
            </w:tcMar>
            <w:vAlign w:val="center"/>
          </w:tcPr>
          <w:p w14:paraId="447914E2"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hint="eastAsia"/>
                <w:bCs/>
                <w:color w:val="000000"/>
                <w:sz w:val="24"/>
              </w:rPr>
              <w:t>预制内墙板、室内装修一体化施工并实现成品房交付使用</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422FA24" w14:textId="77777777" w:rsidR="007B1C52" w:rsidRPr="00880FCE" w:rsidRDefault="007B1C52" w:rsidP="005A2643">
            <w:pPr>
              <w:spacing w:line="240" w:lineRule="exact"/>
              <w:jc w:val="center"/>
              <w:rPr>
                <w:rFonts w:ascii="宋体" w:hAnsi="宋体"/>
                <w:bCs/>
                <w:color w:val="000000"/>
                <w:sz w:val="24"/>
              </w:rPr>
            </w:pPr>
            <w:r w:rsidRPr="00880FCE">
              <w:rPr>
                <w:rFonts w:ascii="宋体" w:hAnsi="宋体"/>
                <w:bCs/>
                <w:color w:val="000000"/>
                <w:sz w:val="24"/>
              </w:rPr>
              <w:t>6.77%</w:t>
            </w:r>
          </w:p>
        </w:tc>
        <w:tc>
          <w:tcPr>
            <w:tcW w:w="1275" w:type="dxa"/>
            <w:vMerge/>
            <w:tcBorders>
              <w:left w:val="single" w:sz="4" w:space="0" w:color="auto"/>
              <w:bottom w:val="single" w:sz="8" w:space="0" w:color="000000"/>
              <w:right w:val="single" w:sz="8" w:space="0" w:color="000000"/>
            </w:tcBorders>
            <w:tcMar>
              <w:top w:w="72" w:type="dxa"/>
              <w:left w:w="144" w:type="dxa"/>
              <w:bottom w:w="72" w:type="dxa"/>
              <w:right w:w="144" w:type="dxa"/>
            </w:tcMar>
            <w:vAlign w:val="center"/>
          </w:tcPr>
          <w:p w14:paraId="7CE32153" w14:textId="77777777" w:rsidR="007B1C52" w:rsidRPr="00880FCE" w:rsidRDefault="007B1C52" w:rsidP="00E0083D">
            <w:pPr>
              <w:spacing w:line="300" w:lineRule="exact"/>
              <w:jc w:val="center"/>
              <w:rPr>
                <w:rFonts w:ascii="宋体" w:eastAsia="宋体"/>
                <w:bCs/>
                <w:color w:val="000000"/>
                <w:sz w:val="24"/>
              </w:rPr>
            </w:pPr>
          </w:p>
        </w:tc>
      </w:tr>
      <w:tr w:rsidR="007B1C52" w:rsidRPr="00880FCE" w14:paraId="4E7E5FF1" w14:textId="77777777" w:rsidTr="00880FCE">
        <w:trPr>
          <w:trHeight w:val="85"/>
          <w:jc w:val="center"/>
        </w:trPr>
        <w:tc>
          <w:tcPr>
            <w:tcW w:w="557" w:type="dxa"/>
            <w:vMerge w:val="restart"/>
            <w:tcBorders>
              <w:top w:val="single" w:sz="8" w:space="0" w:color="000000"/>
              <w:left w:val="single" w:sz="8" w:space="0" w:color="000000"/>
              <w:right w:val="single" w:sz="8" w:space="0" w:color="000000"/>
            </w:tcBorders>
            <w:vAlign w:val="center"/>
          </w:tcPr>
          <w:p w14:paraId="1431AA43" w14:textId="77777777" w:rsidR="007B1C52" w:rsidRPr="00880FCE" w:rsidRDefault="007B1C52" w:rsidP="005A2643">
            <w:pPr>
              <w:spacing w:line="240" w:lineRule="exact"/>
              <w:jc w:val="center"/>
              <w:rPr>
                <w:rFonts w:ascii="仿宋_GB2312" w:hAnsi="宋体"/>
                <w:bCs/>
                <w:color w:val="000000"/>
                <w:sz w:val="24"/>
              </w:rPr>
            </w:pPr>
            <w:r w:rsidRPr="00880FCE">
              <w:rPr>
                <w:rFonts w:ascii="仿宋_GB2312" w:hAnsi="宋体"/>
                <w:bCs/>
                <w:color w:val="000000"/>
                <w:sz w:val="24"/>
              </w:rPr>
              <w:t>3</w:t>
            </w:r>
          </w:p>
        </w:tc>
        <w:tc>
          <w:tcPr>
            <w:tcW w:w="1522" w:type="dxa"/>
            <w:vMerge w:val="restart"/>
            <w:tcBorders>
              <w:top w:val="single" w:sz="8" w:space="0" w:color="000000"/>
              <w:left w:val="single" w:sz="8" w:space="0" w:color="000000"/>
              <w:right w:val="single" w:sz="8" w:space="0" w:color="000000"/>
            </w:tcBorders>
            <w:tcMar>
              <w:top w:w="72" w:type="dxa"/>
              <w:left w:w="144" w:type="dxa"/>
              <w:bottom w:w="72" w:type="dxa"/>
              <w:right w:w="144" w:type="dxa"/>
            </w:tcMar>
            <w:vAlign w:val="center"/>
          </w:tcPr>
          <w:p w14:paraId="505D783F" w14:textId="77777777" w:rsidR="007B1C52" w:rsidRPr="00880FCE" w:rsidRDefault="007B1C52" w:rsidP="005A2643">
            <w:pPr>
              <w:spacing w:line="240" w:lineRule="exact"/>
              <w:jc w:val="center"/>
              <w:rPr>
                <w:rFonts w:ascii="仿宋_GB2312" w:hAnsi="宋体"/>
                <w:bCs/>
                <w:color w:val="000000"/>
                <w:sz w:val="24"/>
              </w:rPr>
            </w:pPr>
            <w:r w:rsidRPr="00880FCE">
              <w:rPr>
                <w:rFonts w:ascii="仿宋_GB2312" w:hAnsi="宋体"/>
                <w:bCs/>
                <w:color w:val="000000"/>
                <w:sz w:val="24"/>
              </w:rPr>
              <w:t>1#-3</w:t>
            </w:r>
            <w:r w:rsidRPr="00880FCE">
              <w:rPr>
                <w:rFonts w:ascii="仿宋_GB2312" w:hAnsi="宋体" w:hint="eastAsia"/>
                <w:bCs/>
                <w:color w:val="000000"/>
                <w:sz w:val="24"/>
              </w:rPr>
              <w:t>号楼</w:t>
            </w:r>
          </w:p>
        </w:tc>
        <w:tc>
          <w:tcPr>
            <w:tcW w:w="4148" w:type="dxa"/>
            <w:tcBorders>
              <w:top w:val="single" w:sz="8" w:space="0" w:color="000000"/>
              <w:left w:val="single" w:sz="8" w:space="0" w:color="000000"/>
              <w:bottom w:val="single" w:sz="8" w:space="0" w:color="000000"/>
              <w:right w:val="single" w:sz="4" w:space="0" w:color="auto"/>
            </w:tcBorders>
            <w:tcMar>
              <w:top w:w="72" w:type="dxa"/>
              <w:left w:w="144" w:type="dxa"/>
              <w:bottom w:w="72" w:type="dxa"/>
              <w:right w:w="144" w:type="dxa"/>
            </w:tcMar>
            <w:vAlign w:val="center"/>
          </w:tcPr>
          <w:p w14:paraId="2CDAF3A9" w14:textId="77777777" w:rsidR="004D05C8" w:rsidRPr="00880FCE" w:rsidRDefault="004D05C8" w:rsidP="004D05C8">
            <w:pPr>
              <w:spacing w:line="240" w:lineRule="exact"/>
              <w:jc w:val="center"/>
              <w:rPr>
                <w:rFonts w:ascii="宋体" w:hAnsi="宋体"/>
                <w:bCs/>
                <w:color w:val="000000"/>
                <w:sz w:val="24"/>
              </w:rPr>
            </w:pPr>
            <w:r w:rsidRPr="00880FCE">
              <w:rPr>
                <w:rFonts w:ascii="宋体" w:hAnsi="宋体" w:hint="eastAsia"/>
                <w:bCs/>
                <w:color w:val="000000"/>
                <w:sz w:val="24"/>
              </w:rPr>
              <w:t>预制叠合板、预制叠合梁</w:t>
            </w:r>
          </w:p>
          <w:p w14:paraId="66C26E03" w14:textId="77777777" w:rsidR="007B1C52" w:rsidRPr="00880FCE" w:rsidRDefault="004D05C8" w:rsidP="004D05C8">
            <w:pPr>
              <w:spacing w:line="240" w:lineRule="exact"/>
              <w:jc w:val="center"/>
              <w:rPr>
                <w:rFonts w:ascii="宋体" w:eastAsia="宋体"/>
                <w:bCs/>
                <w:color w:val="000000"/>
                <w:sz w:val="24"/>
              </w:rPr>
            </w:pPr>
            <w:r w:rsidRPr="00880FCE">
              <w:rPr>
                <w:rFonts w:ascii="宋体" w:hAnsi="宋体" w:hint="eastAsia"/>
                <w:bCs/>
                <w:color w:val="000000"/>
                <w:sz w:val="24"/>
              </w:rPr>
              <w:t>预制楼梯、预制女儿墙</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4C035E34"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bCs/>
                <w:color w:val="000000"/>
                <w:sz w:val="24"/>
              </w:rPr>
              <w:t>23.56%</w:t>
            </w:r>
          </w:p>
        </w:tc>
        <w:tc>
          <w:tcPr>
            <w:tcW w:w="1275" w:type="dxa"/>
            <w:vMerge w:val="restart"/>
            <w:tcBorders>
              <w:top w:val="single" w:sz="8" w:space="0" w:color="000000"/>
              <w:left w:val="single" w:sz="4" w:space="0" w:color="auto"/>
              <w:right w:val="single" w:sz="8" w:space="0" w:color="000000"/>
            </w:tcBorders>
            <w:tcMar>
              <w:top w:w="72" w:type="dxa"/>
              <w:left w:w="144" w:type="dxa"/>
              <w:bottom w:w="72" w:type="dxa"/>
              <w:right w:w="144" w:type="dxa"/>
            </w:tcMar>
            <w:vAlign w:val="center"/>
          </w:tcPr>
          <w:p w14:paraId="3841C70F" w14:textId="77777777" w:rsidR="007B1C52" w:rsidRPr="00880FCE" w:rsidRDefault="007B1C52" w:rsidP="00E0083D">
            <w:pPr>
              <w:spacing w:line="300" w:lineRule="exact"/>
              <w:jc w:val="center"/>
              <w:rPr>
                <w:rFonts w:ascii="宋体" w:eastAsia="宋体"/>
                <w:bCs/>
                <w:color w:val="000000"/>
                <w:sz w:val="24"/>
              </w:rPr>
            </w:pPr>
            <w:r w:rsidRPr="00880FCE">
              <w:rPr>
                <w:rFonts w:ascii="宋体" w:hAnsi="宋体"/>
                <w:bCs/>
                <w:color w:val="000000"/>
                <w:sz w:val="24"/>
              </w:rPr>
              <w:t>3</w:t>
            </w:r>
            <w:r w:rsidRPr="00880FCE">
              <w:rPr>
                <w:rFonts w:ascii="宋体" w:eastAsia="宋体"/>
                <w:bCs/>
                <w:color w:val="000000"/>
                <w:sz w:val="24"/>
              </w:rPr>
              <w:t>0.</w:t>
            </w:r>
            <w:r w:rsidRPr="00880FCE">
              <w:rPr>
                <w:rFonts w:ascii="宋体" w:hAnsi="宋体"/>
                <w:bCs/>
                <w:color w:val="000000"/>
                <w:sz w:val="24"/>
              </w:rPr>
              <w:t>46%</w:t>
            </w:r>
          </w:p>
        </w:tc>
      </w:tr>
      <w:tr w:rsidR="007B1C52" w:rsidRPr="00880FCE" w14:paraId="37684A63" w14:textId="77777777" w:rsidTr="00880FCE">
        <w:trPr>
          <w:trHeight w:val="20"/>
          <w:jc w:val="center"/>
        </w:trPr>
        <w:tc>
          <w:tcPr>
            <w:tcW w:w="557" w:type="dxa"/>
            <w:vMerge/>
            <w:tcBorders>
              <w:left w:val="single" w:sz="8" w:space="0" w:color="000000"/>
              <w:bottom w:val="single" w:sz="8" w:space="0" w:color="000000"/>
              <w:right w:val="single" w:sz="8" w:space="0" w:color="000000"/>
            </w:tcBorders>
            <w:vAlign w:val="center"/>
          </w:tcPr>
          <w:p w14:paraId="6133840E" w14:textId="77777777" w:rsidR="007B1C52" w:rsidRPr="00880FCE" w:rsidRDefault="007B1C52" w:rsidP="005A2643">
            <w:pPr>
              <w:spacing w:line="240" w:lineRule="exact"/>
              <w:jc w:val="center"/>
              <w:rPr>
                <w:rFonts w:ascii="仿宋_GB2312" w:hAnsi="宋体"/>
                <w:bCs/>
                <w:color w:val="000000"/>
                <w:sz w:val="24"/>
              </w:rPr>
            </w:pPr>
          </w:p>
        </w:tc>
        <w:tc>
          <w:tcPr>
            <w:tcW w:w="1522" w:type="dxa"/>
            <w:vMerge/>
            <w:tcBorders>
              <w:left w:val="single" w:sz="8" w:space="0" w:color="000000"/>
              <w:bottom w:val="single" w:sz="8" w:space="0" w:color="000000"/>
              <w:right w:val="single" w:sz="8" w:space="0" w:color="000000"/>
            </w:tcBorders>
            <w:tcMar>
              <w:top w:w="72" w:type="dxa"/>
              <w:left w:w="144" w:type="dxa"/>
              <w:bottom w:w="72" w:type="dxa"/>
              <w:right w:w="144" w:type="dxa"/>
            </w:tcMar>
            <w:vAlign w:val="center"/>
          </w:tcPr>
          <w:p w14:paraId="105DEF52" w14:textId="77777777" w:rsidR="007B1C52" w:rsidRPr="00880FCE" w:rsidRDefault="007B1C52" w:rsidP="005A2643">
            <w:pPr>
              <w:spacing w:line="240" w:lineRule="exact"/>
              <w:jc w:val="center"/>
              <w:rPr>
                <w:rFonts w:ascii="仿宋_GB2312" w:hAnsi="宋体"/>
                <w:bCs/>
                <w:color w:val="000000"/>
                <w:sz w:val="24"/>
              </w:rPr>
            </w:pPr>
          </w:p>
        </w:tc>
        <w:tc>
          <w:tcPr>
            <w:tcW w:w="4148" w:type="dxa"/>
            <w:tcBorders>
              <w:top w:val="single" w:sz="8" w:space="0" w:color="000000"/>
              <w:left w:val="single" w:sz="8" w:space="0" w:color="000000"/>
              <w:bottom w:val="single" w:sz="8" w:space="0" w:color="000000"/>
              <w:right w:val="single" w:sz="4" w:space="0" w:color="auto"/>
            </w:tcBorders>
            <w:tcMar>
              <w:top w:w="72" w:type="dxa"/>
              <w:left w:w="144" w:type="dxa"/>
              <w:bottom w:w="72" w:type="dxa"/>
              <w:right w:w="144" w:type="dxa"/>
            </w:tcMar>
            <w:vAlign w:val="center"/>
          </w:tcPr>
          <w:p w14:paraId="7EB2D548"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hint="eastAsia"/>
                <w:bCs/>
                <w:color w:val="000000"/>
                <w:sz w:val="24"/>
              </w:rPr>
              <w:t>预制内墙板、室内装修一体化施工并实现成品房交付使用</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2DAD29B6" w14:textId="77777777" w:rsidR="007B1C52" w:rsidRPr="00880FCE" w:rsidRDefault="007B1C52" w:rsidP="005A2643">
            <w:pPr>
              <w:spacing w:line="240" w:lineRule="exact"/>
              <w:jc w:val="center"/>
              <w:rPr>
                <w:rFonts w:ascii="宋体" w:hAnsi="宋体"/>
                <w:bCs/>
                <w:color w:val="000000"/>
                <w:sz w:val="24"/>
              </w:rPr>
            </w:pPr>
            <w:r w:rsidRPr="00880FCE">
              <w:rPr>
                <w:rFonts w:ascii="宋体" w:hAnsi="宋体"/>
                <w:bCs/>
                <w:color w:val="000000"/>
                <w:sz w:val="24"/>
              </w:rPr>
              <w:t>6.90%</w:t>
            </w:r>
          </w:p>
        </w:tc>
        <w:tc>
          <w:tcPr>
            <w:tcW w:w="1275" w:type="dxa"/>
            <w:vMerge/>
            <w:tcBorders>
              <w:left w:val="single" w:sz="4" w:space="0" w:color="auto"/>
              <w:bottom w:val="single" w:sz="8" w:space="0" w:color="000000"/>
              <w:right w:val="single" w:sz="8" w:space="0" w:color="000000"/>
            </w:tcBorders>
            <w:tcMar>
              <w:top w:w="72" w:type="dxa"/>
              <w:left w:w="144" w:type="dxa"/>
              <w:bottom w:w="72" w:type="dxa"/>
              <w:right w:w="144" w:type="dxa"/>
            </w:tcMar>
            <w:vAlign w:val="center"/>
          </w:tcPr>
          <w:p w14:paraId="6725FD03" w14:textId="77777777" w:rsidR="007B1C52" w:rsidRPr="00880FCE" w:rsidRDefault="007B1C52" w:rsidP="00E0083D">
            <w:pPr>
              <w:spacing w:line="300" w:lineRule="exact"/>
              <w:jc w:val="center"/>
              <w:rPr>
                <w:rFonts w:ascii="宋体" w:eastAsia="宋体"/>
                <w:bCs/>
                <w:color w:val="000000"/>
                <w:sz w:val="24"/>
              </w:rPr>
            </w:pPr>
          </w:p>
        </w:tc>
      </w:tr>
      <w:tr w:rsidR="007B1C52" w:rsidRPr="00880FCE" w14:paraId="2ED87416" w14:textId="77777777" w:rsidTr="00880FCE">
        <w:trPr>
          <w:trHeight w:val="76"/>
          <w:jc w:val="center"/>
        </w:trPr>
        <w:tc>
          <w:tcPr>
            <w:tcW w:w="557" w:type="dxa"/>
            <w:vMerge w:val="restart"/>
            <w:tcBorders>
              <w:top w:val="single" w:sz="8" w:space="0" w:color="000000"/>
              <w:left w:val="single" w:sz="8" w:space="0" w:color="000000"/>
              <w:right w:val="single" w:sz="8" w:space="0" w:color="000000"/>
            </w:tcBorders>
            <w:vAlign w:val="center"/>
          </w:tcPr>
          <w:p w14:paraId="36FA79D4" w14:textId="77777777" w:rsidR="007B1C52" w:rsidRPr="00880FCE" w:rsidRDefault="007B1C52" w:rsidP="005A2643">
            <w:pPr>
              <w:spacing w:line="240" w:lineRule="exact"/>
              <w:jc w:val="center"/>
              <w:rPr>
                <w:rFonts w:ascii="仿宋_GB2312" w:hAnsi="宋体"/>
                <w:bCs/>
                <w:color w:val="000000"/>
                <w:sz w:val="24"/>
              </w:rPr>
            </w:pPr>
            <w:r w:rsidRPr="00880FCE">
              <w:rPr>
                <w:rFonts w:ascii="仿宋_GB2312" w:hAnsi="宋体"/>
                <w:bCs/>
                <w:color w:val="000000"/>
                <w:sz w:val="24"/>
              </w:rPr>
              <w:t>4</w:t>
            </w:r>
          </w:p>
        </w:tc>
        <w:tc>
          <w:tcPr>
            <w:tcW w:w="1522" w:type="dxa"/>
            <w:vMerge w:val="restart"/>
            <w:tcBorders>
              <w:top w:val="single" w:sz="8" w:space="0" w:color="000000"/>
              <w:left w:val="single" w:sz="8" w:space="0" w:color="000000"/>
              <w:right w:val="single" w:sz="8" w:space="0" w:color="000000"/>
            </w:tcBorders>
            <w:tcMar>
              <w:top w:w="72" w:type="dxa"/>
              <w:left w:w="144" w:type="dxa"/>
              <w:bottom w:w="72" w:type="dxa"/>
              <w:right w:w="144" w:type="dxa"/>
            </w:tcMar>
            <w:vAlign w:val="center"/>
          </w:tcPr>
          <w:p w14:paraId="422086E4" w14:textId="77777777" w:rsidR="007B1C52" w:rsidRPr="00880FCE" w:rsidRDefault="007B1C52" w:rsidP="005A2643">
            <w:pPr>
              <w:spacing w:line="240" w:lineRule="exact"/>
              <w:jc w:val="center"/>
              <w:rPr>
                <w:rFonts w:ascii="仿宋_GB2312" w:hAnsi="宋体"/>
                <w:bCs/>
                <w:color w:val="000000"/>
                <w:sz w:val="24"/>
              </w:rPr>
            </w:pPr>
            <w:r w:rsidRPr="00880FCE">
              <w:rPr>
                <w:rFonts w:ascii="仿宋_GB2312" w:hAnsi="宋体"/>
                <w:bCs/>
                <w:color w:val="000000"/>
                <w:sz w:val="24"/>
              </w:rPr>
              <w:t>1#-P</w:t>
            </w:r>
            <w:r w:rsidRPr="00880FCE">
              <w:rPr>
                <w:rFonts w:ascii="仿宋_GB2312" w:hAnsi="宋体" w:hint="eastAsia"/>
                <w:bCs/>
                <w:color w:val="000000"/>
                <w:sz w:val="24"/>
              </w:rPr>
              <w:t>号楼</w:t>
            </w:r>
          </w:p>
        </w:tc>
        <w:tc>
          <w:tcPr>
            <w:tcW w:w="4148" w:type="dxa"/>
            <w:tcBorders>
              <w:top w:val="single" w:sz="8" w:space="0" w:color="000000"/>
              <w:left w:val="single" w:sz="8" w:space="0" w:color="000000"/>
              <w:bottom w:val="single" w:sz="8" w:space="0" w:color="000000"/>
              <w:right w:val="single" w:sz="4" w:space="0" w:color="auto"/>
            </w:tcBorders>
            <w:tcMar>
              <w:top w:w="72" w:type="dxa"/>
              <w:left w:w="144" w:type="dxa"/>
              <w:bottom w:w="72" w:type="dxa"/>
              <w:right w:w="144" w:type="dxa"/>
            </w:tcMar>
            <w:vAlign w:val="center"/>
          </w:tcPr>
          <w:p w14:paraId="74E3C09A" w14:textId="77777777" w:rsidR="004D05C8" w:rsidRPr="00880FCE" w:rsidRDefault="004D05C8" w:rsidP="004D05C8">
            <w:pPr>
              <w:spacing w:line="240" w:lineRule="exact"/>
              <w:jc w:val="center"/>
              <w:rPr>
                <w:rFonts w:ascii="宋体" w:hAnsi="宋体"/>
                <w:bCs/>
                <w:color w:val="000000"/>
                <w:sz w:val="24"/>
              </w:rPr>
            </w:pPr>
            <w:r w:rsidRPr="00880FCE">
              <w:rPr>
                <w:rFonts w:ascii="宋体" w:hAnsi="宋体" w:hint="eastAsia"/>
                <w:bCs/>
                <w:color w:val="000000"/>
                <w:sz w:val="24"/>
              </w:rPr>
              <w:t>预制叠合板、预制叠合梁</w:t>
            </w:r>
          </w:p>
          <w:p w14:paraId="6060C3BD" w14:textId="77777777" w:rsidR="007B1C52" w:rsidRPr="00880FCE" w:rsidRDefault="004D05C8" w:rsidP="004D05C8">
            <w:pPr>
              <w:spacing w:line="240" w:lineRule="exact"/>
              <w:jc w:val="center"/>
              <w:rPr>
                <w:rFonts w:ascii="宋体" w:eastAsia="宋体"/>
                <w:bCs/>
                <w:color w:val="000000"/>
                <w:sz w:val="24"/>
              </w:rPr>
            </w:pPr>
            <w:r w:rsidRPr="00880FCE">
              <w:rPr>
                <w:rFonts w:ascii="宋体" w:hAnsi="宋体" w:hint="eastAsia"/>
                <w:bCs/>
                <w:color w:val="000000"/>
                <w:sz w:val="24"/>
              </w:rPr>
              <w:t>预制楼梯、预制女儿墙</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B4203CC" w14:textId="77777777" w:rsidR="007B1C52" w:rsidRPr="00880FCE" w:rsidRDefault="007B1C52" w:rsidP="005A2643">
            <w:pPr>
              <w:spacing w:line="240" w:lineRule="exact"/>
              <w:jc w:val="center"/>
              <w:rPr>
                <w:rFonts w:ascii="宋体" w:eastAsia="宋体"/>
                <w:bCs/>
                <w:color w:val="000000"/>
                <w:sz w:val="24"/>
              </w:rPr>
            </w:pPr>
            <w:r w:rsidRPr="00880FCE">
              <w:rPr>
                <w:rFonts w:ascii="宋体" w:hAnsi="宋体"/>
                <w:bCs/>
                <w:color w:val="000000"/>
                <w:sz w:val="24"/>
              </w:rPr>
              <w:t>23.32%</w:t>
            </w:r>
          </w:p>
        </w:tc>
        <w:tc>
          <w:tcPr>
            <w:tcW w:w="1275" w:type="dxa"/>
            <w:vMerge w:val="restart"/>
            <w:tcBorders>
              <w:top w:val="single" w:sz="8" w:space="0" w:color="000000"/>
              <w:left w:val="single" w:sz="4" w:space="0" w:color="auto"/>
              <w:right w:val="single" w:sz="8" w:space="0" w:color="000000"/>
            </w:tcBorders>
            <w:tcMar>
              <w:top w:w="72" w:type="dxa"/>
              <w:left w:w="144" w:type="dxa"/>
              <w:bottom w:w="72" w:type="dxa"/>
              <w:right w:w="144" w:type="dxa"/>
            </w:tcMar>
            <w:vAlign w:val="center"/>
          </w:tcPr>
          <w:p w14:paraId="2E9896A8" w14:textId="77777777" w:rsidR="007B1C52" w:rsidRPr="00880FCE" w:rsidRDefault="007B1C52" w:rsidP="00E0083D">
            <w:pPr>
              <w:spacing w:line="300" w:lineRule="exact"/>
              <w:jc w:val="center"/>
              <w:rPr>
                <w:rFonts w:ascii="宋体" w:eastAsia="宋体"/>
                <w:bCs/>
                <w:color w:val="000000"/>
                <w:sz w:val="24"/>
              </w:rPr>
            </w:pPr>
            <w:r w:rsidRPr="00880FCE">
              <w:rPr>
                <w:rFonts w:ascii="宋体" w:hAnsi="宋体"/>
                <w:bCs/>
                <w:color w:val="000000"/>
                <w:sz w:val="24"/>
              </w:rPr>
              <w:t>30.22%</w:t>
            </w:r>
          </w:p>
        </w:tc>
      </w:tr>
      <w:tr w:rsidR="007B1C52" w:rsidRPr="00880FCE" w14:paraId="34A2EF4C" w14:textId="77777777" w:rsidTr="00880FCE">
        <w:trPr>
          <w:trHeight w:val="20"/>
          <w:jc w:val="center"/>
        </w:trPr>
        <w:tc>
          <w:tcPr>
            <w:tcW w:w="557" w:type="dxa"/>
            <w:vMerge/>
            <w:tcBorders>
              <w:left w:val="single" w:sz="8" w:space="0" w:color="000000"/>
              <w:bottom w:val="single" w:sz="8" w:space="0" w:color="000000"/>
              <w:right w:val="single" w:sz="8" w:space="0" w:color="000000"/>
            </w:tcBorders>
            <w:vAlign w:val="center"/>
          </w:tcPr>
          <w:p w14:paraId="40EA4DA7" w14:textId="77777777" w:rsidR="007B1C52" w:rsidRPr="00880FCE" w:rsidRDefault="007B1C52" w:rsidP="005A2643">
            <w:pPr>
              <w:spacing w:line="240" w:lineRule="exact"/>
              <w:jc w:val="center"/>
              <w:rPr>
                <w:rFonts w:ascii="仿宋_GB2312" w:hAnsi="宋体"/>
                <w:bCs/>
                <w:color w:val="000000"/>
                <w:sz w:val="24"/>
              </w:rPr>
            </w:pPr>
          </w:p>
        </w:tc>
        <w:tc>
          <w:tcPr>
            <w:tcW w:w="1522" w:type="dxa"/>
            <w:vMerge/>
            <w:tcBorders>
              <w:left w:val="single" w:sz="8" w:space="0" w:color="000000"/>
              <w:bottom w:val="single" w:sz="8" w:space="0" w:color="000000"/>
              <w:right w:val="single" w:sz="8" w:space="0" w:color="000000"/>
            </w:tcBorders>
            <w:tcMar>
              <w:top w:w="72" w:type="dxa"/>
              <w:left w:w="144" w:type="dxa"/>
              <w:bottom w:w="72" w:type="dxa"/>
              <w:right w:w="144" w:type="dxa"/>
            </w:tcMar>
            <w:vAlign w:val="center"/>
          </w:tcPr>
          <w:p w14:paraId="77B1DB74" w14:textId="77777777" w:rsidR="007B1C52" w:rsidRPr="00880FCE" w:rsidRDefault="007B1C52" w:rsidP="005A2643">
            <w:pPr>
              <w:spacing w:line="240" w:lineRule="exact"/>
              <w:jc w:val="center"/>
              <w:rPr>
                <w:rFonts w:ascii="仿宋_GB2312" w:hAnsi="宋体"/>
                <w:bCs/>
                <w:color w:val="000000"/>
                <w:sz w:val="24"/>
              </w:rPr>
            </w:pPr>
          </w:p>
        </w:tc>
        <w:tc>
          <w:tcPr>
            <w:tcW w:w="4148" w:type="dxa"/>
            <w:tcBorders>
              <w:top w:val="single" w:sz="8" w:space="0" w:color="000000"/>
              <w:left w:val="single" w:sz="8" w:space="0" w:color="000000"/>
              <w:bottom w:val="single" w:sz="8" w:space="0" w:color="000000"/>
              <w:right w:val="single" w:sz="4" w:space="0" w:color="auto"/>
            </w:tcBorders>
            <w:tcMar>
              <w:top w:w="72" w:type="dxa"/>
              <w:left w:w="144" w:type="dxa"/>
              <w:bottom w:w="72" w:type="dxa"/>
              <w:right w:w="144" w:type="dxa"/>
            </w:tcMar>
            <w:vAlign w:val="center"/>
          </w:tcPr>
          <w:p w14:paraId="7D3CDE88" w14:textId="77777777" w:rsidR="007B1C52" w:rsidRPr="00880FCE" w:rsidRDefault="007B1C52" w:rsidP="003E2570">
            <w:pPr>
              <w:spacing w:line="240" w:lineRule="exact"/>
              <w:jc w:val="center"/>
              <w:rPr>
                <w:rFonts w:ascii="宋体" w:eastAsia="宋体"/>
                <w:bCs/>
                <w:color w:val="000000"/>
                <w:sz w:val="24"/>
              </w:rPr>
            </w:pPr>
            <w:r w:rsidRPr="00880FCE">
              <w:rPr>
                <w:rFonts w:ascii="宋体" w:hAnsi="宋体" w:hint="eastAsia"/>
                <w:bCs/>
                <w:color w:val="000000"/>
                <w:sz w:val="24"/>
              </w:rPr>
              <w:t>预制内墙板、室内装修一体化施工并实现成品房交付使用</w:t>
            </w:r>
          </w:p>
        </w:tc>
        <w:tc>
          <w:tcPr>
            <w:tcW w:w="1560"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23320F1A" w14:textId="77777777" w:rsidR="007B1C52" w:rsidRPr="00880FCE" w:rsidRDefault="007B1C52" w:rsidP="005A2643">
            <w:pPr>
              <w:spacing w:line="240" w:lineRule="exact"/>
              <w:jc w:val="center"/>
              <w:rPr>
                <w:rFonts w:ascii="宋体" w:hAnsi="宋体"/>
                <w:bCs/>
                <w:color w:val="000000"/>
                <w:sz w:val="24"/>
              </w:rPr>
            </w:pPr>
            <w:r w:rsidRPr="00880FCE">
              <w:rPr>
                <w:rFonts w:ascii="宋体" w:hAnsi="宋体"/>
                <w:bCs/>
                <w:color w:val="000000"/>
                <w:sz w:val="24"/>
              </w:rPr>
              <w:t>7.32%</w:t>
            </w:r>
          </w:p>
        </w:tc>
        <w:tc>
          <w:tcPr>
            <w:tcW w:w="1275" w:type="dxa"/>
            <w:vMerge/>
            <w:tcBorders>
              <w:left w:val="single" w:sz="4" w:space="0" w:color="auto"/>
              <w:bottom w:val="single" w:sz="8" w:space="0" w:color="000000"/>
              <w:right w:val="single" w:sz="8" w:space="0" w:color="000000"/>
            </w:tcBorders>
            <w:tcMar>
              <w:top w:w="72" w:type="dxa"/>
              <w:left w:w="144" w:type="dxa"/>
              <w:bottom w:w="72" w:type="dxa"/>
              <w:right w:w="144" w:type="dxa"/>
            </w:tcMar>
            <w:vAlign w:val="center"/>
          </w:tcPr>
          <w:p w14:paraId="527A307C" w14:textId="77777777" w:rsidR="007B1C52" w:rsidRPr="00880FCE" w:rsidRDefault="007B1C52" w:rsidP="00E0083D">
            <w:pPr>
              <w:spacing w:line="300" w:lineRule="exact"/>
              <w:jc w:val="center"/>
              <w:rPr>
                <w:rFonts w:ascii="宋体" w:eastAsia="宋体"/>
                <w:bCs/>
                <w:color w:val="000000"/>
                <w:sz w:val="24"/>
              </w:rPr>
            </w:pPr>
          </w:p>
        </w:tc>
      </w:tr>
    </w:tbl>
    <w:p w14:paraId="69C2FFD0" w14:textId="77777777" w:rsidR="007B1C52" w:rsidRPr="00880FCE" w:rsidRDefault="007B1C52" w:rsidP="002878A4">
      <w:pPr>
        <w:spacing w:line="400" w:lineRule="exact"/>
        <w:ind w:firstLineChars="200" w:firstLine="480"/>
        <w:rPr>
          <w:rFonts w:ascii="仿宋_GB2312" w:hAnsi="宋体"/>
          <w:bCs/>
          <w:color w:val="000000"/>
          <w:sz w:val="24"/>
        </w:rPr>
      </w:pPr>
      <w:r w:rsidRPr="00880FCE">
        <w:rPr>
          <w:rFonts w:ascii="仿宋_GB2312" w:hAnsi="宋体" w:hint="eastAsia"/>
          <w:bCs/>
          <w:color w:val="000000"/>
          <w:sz w:val="24"/>
        </w:rPr>
        <w:t>本项目施工图设计文件已通过审图机构审查。审查机构：福建天正建筑工程施工图审查事务有限公司，合格证编号</w:t>
      </w:r>
      <w:r w:rsidRPr="00880FCE">
        <w:rPr>
          <w:rFonts w:ascii="仿宋_GB2312" w:hAnsi="宋体"/>
          <w:bCs/>
          <w:color w:val="000000"/>
          <w:sz w:val="24"/>
        </w:rPr>
        <w:t>: 3501021905200101-TX-002</w:t>
      </w:r>
      <w:r w:rsidRPr="00880FCE">
        <w:rPr>
          <w:rFonts w:ascii="仿宋_GB2312" w:hAnsi="宋体" w:hint="eastAsia"/>
          <w:bCs/>
          <w:color w:val="000000"/>
          <w:sz w:val="24"/>
        </w:rPr>
        <w:t>。</w:t>
      </w:r>
    </w:p>
    <w:p w14:paraId="78DCBA28" w14:textId="77777777" w:rsidR="007B1C52" w:rsidRPr="00880FCE" w:rsidRDefault="007B1C52" w:rsidP="002878A4">
      <w:pPr>
        <w:spacing w:line="400" w:lineRule="exact"/>
        <w:ind w:firstLineChars="200" w:firstLine="480"/>
        <w:jc w:val="left"/>
        <w:rPr>
          <w:rFonts w:ascii="仿宋_GB2312" w:hAnsi="宋体"/>
          <w:bCs/>
          <w:color w:val="000000"/>
          <w:sz w:val="24"/>
        </w:rPr>
      </w:pPr>
      <w:r w:rsidRPr="00880FCE">
        <w:rPr>
          <w:rFonts w:ascii="仿宋_GB2312" w:hAnsi="宋体" w:hint="eastAsia"/>
          <w:bCs/>
          <w:color w:val="000000"/>
          <w:sz w:val="24"/>
        </w:rPr>
        <w:lastRenderedPageBreak/>
        <w:t>与会专家听取了中建海峡建设发展有限公司、中国建筑东北设计研究院有限公司及建设单位对本工程的介绍，专家组经研究讨论，形成以下意见：</w:t>
      </w:r>
    </w:p>
    <w:p w14:paraId="46DE8A71" w14:textId="77777777" w:rsidR="007B1C52" w:rsidRPr="00880FCE" w:rsidRDefault="000C0353" w:rsidP="002878A4">
      <w:pPr>
        <w:spacing w:line="400" w:lineRule="exact"/>
        <w:ind w:firstLineChars="200" w:firstLine="480"/>
        <w:rPr>
          <w:rFonts w:ascii="仿宋_GB2312" w:hAnsi="宋体"/>
          <w:bCs/>
          <w:color w:val="000000"/>
          <w:sz w:val="24"/>
        </w:rPr>
      </w:pPr>
      <w:r w:rsidRPr="00880FCE">
        <w:rPr>
          <w:rFonts w:ascii="仿宋_GB2312" w:hAnsi="宋体" w:hint="eastAsia"/>
          <w:bCs/>
          <w:color w:val="000000"/>
          <w:sz w:val="24"/>
        </w:rPr>
        <w:t>（1）</w:t>
      </w:r>
      <w:r w:rsidR="007B1C52" w:rsidRPr="00880FCE">
        <w:rPr>
          <w:rFonts w:ascii="仿宋_GB2312" w:hAnsi="宋体" w:hint="eastAsia"/>
          <w:bCs/>
          <w:color w:val="000000"/>
          <w:sz w:val="24"/>
        </w:rPr>
        <w:t>本项目采用装配式建造的建筑面积占比为</w:t>
      </w:r>
      <w:r w:rsidR="007B1C52" w:rsidRPr="00880FCE">
        <w:rPr>
          <w:rFonts w:ascii="仿宋_GB2312" w:hAnsi="宋体"/>
          <w:bCs/>
          <w:color w:val="000000"/>
          <w:sz w:val="24"/>
        </w:rPr>
        <w:t>99.96%</w:t>
      </w:r>
      <w:r w:rsidR="007B1C52" w:rsidRPr="00880FCE">
        <w:rPr>
          <w:rFonts w:ascii="仿宋_GB2312" w:hAnsi="宋体" w:hint="eastAsia"/>
          <w:bCs/>
          <w:color w:val="000000"/>
          <w:sz w:val="24"/>
        </w:rPr>
        <w:t>，各单体建筑预制率不小于</w:t>
      </w:r>
      <w:r w:rsidR="007B1C52" w:rsidRPr="00880FCE">
        <w:rPr>
          <w:rFonts w:ascii="仿宋_GB2312" w:hAnsi="宋体"/>
          <w:bCs/>
          <w:color w:val="000000"/>
          <w:sz w:val="24"/>
        </w:rPr>
        <w:t>30%</w:t>
      </w:r>
      <w:r w:rsidR="007B1C52" w:rsidRPr="00880FCE">
        <w:rPr>
          <w:rFonts w:ascii="仿宋_GB2312" w:hAnsi="宋体" w:hint="eastAsia"/>
          <w:bCs/>
          <w:color w:val="000000"/>
          <w:sz w:val="24"/>
        </w:rPr>
        <w:t>，满足福州市人民政府文件</w:t>
      </w:r>
      <w:proofErr w:type="gramStart"/>
      <w:r w:rsidR="007B1C52" w:rsidRPr="00880FCE">
        <w:rPr>
          <w:rFonts w:ascii="仿宋_GB2312" w:hAnsi="宋体" w:hint="eastAsia"/>
          <w:bCs/>
          <w:color w:val="000000"/>
          <w:sz w:val="24"/>
        </w:rPr>
        <w:t>榕</w:t>
      </w:r>
      <w:proofErr w:type="gramEnd"/>
      <w:r w:rsidR="007B1C52" w:rsidRPr="00880FCE">
        <w:rPr>
          <w:rFonts w:ascii="仿宋_GB2312" w:hAnsi="宋体" w:hint="eastAsia"/>
          <w:bCs/>
          <w:color w:val="000000"/>
          <w:sz w:val="24"/>
        </w:rPr>
        <w:t>政综〔</w:t>
      </w:r>
      <w:r w:rsidR="007B1C52" w:rsidRPr="00880FCE">
        <w:rPr>
          <w:rFonts w:ascii="仿宋_GB2312" w:hAnsi="宋体"/>
          <w:bCs/>
          <w:color w:val="000000"/>
          <w:sz w:val="24"/>
        </w:rPr>
        <w:t>2017</w:t>
      </w:r>
      <w:r w:rsidR="007B1C52" w:rsidRPr="00880FCE">
        <w:rPr>
          <w:rFonts w:ascii="仿宋_GB2312" w:hAnsi="宋体" w:hint="eastAsia"/>
          <w:bCs/>
          <w:color w:val="000000"/>
          <w:sz w:val="24"/>
        </w:rPr>
        <w:t>〕</w:t>
      </w:r>
      <w:r w:rsidR="007B1C52" w:rsidRPr="00880FCE">
        <w:rPr>
          <w:rFonts w:ascii="仿宋_GB2312" w:hAnsi="宋体"/>
          <w:bCs/>
          <w:color w:val="000000"/>
          <w:sz w:val="24"/>
        </w:rPr>
        <w:t>1164</w:t>
      </w:r>
      <w:r w:rsidR="007B1C52" w:rsidRPr="00880FCE">
        <w:rPr>
          <w:rFonts w:ascii="仿宋_GB2312" w:hAnsi="宋体" w:hint="eastAsia"/>
          <w:bCs/>
          <w:color w:val="000000"/>
          <w:sz w:val="24"/>
        </w:rPr>
        <w:t>号的相关规定，且满足福州市城乡建设局文件《福州市城乡建设局关于软件园</w:t>
      </w:r>
      <w:r w:rsidR="007B1C52" w:rsidRPr="00880FCE">
        <w:rPr>
          <w:rFonts w:ascii="仿宋_GB2312" w:hAnsi="宋体"/>
          <w:bCs/>
          <w:color w:val="000000"/>
          <w:sz w:val="24"/>
        </w:rPr>
        <w:t>E</w:t>
      </w:r>
      <w:r w:rsidR="007B1C52" w:rsidRPr="00880FCE">
        <w:rPr>
          <w:rFonts w:ascii="仿宋_GB2312" w:hAnsi="宋体" w:hint="eastAsia"/>
          <w:bCs/>
          <w:color w:val="000000"/>
          <w:sz w:val="24"/>
        </w:rPr>
        <w:t>区</w:t>
      </w:r>
      <w:r w:rsidR="007B1C52" w:rsidRPr="00880FCE">
        <w:rPr>
          <w:rFonts w:ascii="仿宋_GB2312" w:hAnsi="宋体"/>
          <w:bCs/>
          <w:color w:val="000000"/>
          <w:sz w:val="24"/>
        </w:rPr>
        <w:t>25</w:t>
      </w:r>
      <w:r w:rsidR="007B1C52" w:rsidRPr="00880FCE">
        <w:rPr>
          <w:rFonts w:ascii="仿宋_GB2312" w:hAnsi="宋体" w:hint="eastAsia"/>
          <w:bCs/>
          <w:color w:val="000000"/>
          <w:sz w:val="24"/>
        </w:rPr>
        <w:t>地块福州软件园数字经济产业创新中心项目列入装配式建筑试点的复函》（</w:t>
      </w:r>
      <w:proofErr w:type="gramStart"/>
      <w:r w:rsidR="007B1C52" w:rsidRPr="00880FCE">
        <w:rPr>
          <w:rFonts w:ascii="仿宋_GB2312" w:hAnsi="宋体" w:hint="eastAsia"/>
          <w:bCs/>
          <w:color w:val="000000"/>
          <w:sz w:val="24"/>
        </w:rPr>
        <w:t>榕</w:t>
      </w:r>
      <w:proofErr w:type="gramEnd"/>
      <w:r w:rsidR="007B1C52" w:rsidRPr="00880FCE">
        <w:rPr>
          <w:rFonts w:ascii="仿宋_GB2312" w:hAnsi="宋体" w:hint="eastAsia"/>
          <w:bCs/>
          <w:color w:val="000000"/>
          <w:sz w:val="24"/>
        </w:rPr>
        <w:t>建筑〔</w:t>
      </w:r>
      <w:r w:rsidR="007B1C52" w:rsidRPr="00880FCE">
        <w:rPr>
          <w:rFonts w:ascii="仿宋_GB2312" w:hAnsi="宋体"/>
          <w:bCs/>
          <w:color w:val="000000"/>
          <w:sz w:val="24"/>
        </w:rPr>
        <w:t>2019</w:t>
      </w:r>
      <w:r w:rsidR="007B1C52" w:rsidRPr="00880FCE">
        <w:rPr>
          <w:rFonts w:ascii="仿宋_GB2312" w:hAnsi="宋体" w:hint="eastAsia"/>
          <w:bCs/>
          <w:color w:val="000000"/>
          <w:sz w:val="24"/>
        </w:rPr>
        <w:t>〕</w:t>
      </w:r>
      <w:r w:rsidR="007B1C52" w:rsidRPr="00880FCE">
        <w:rPr>
          <w:rFonts w:ascii="仿宋_GB2312" w:hAnsi="宋体"/>
          <w:bCs/>
          <w:color w:val="000000"/>
          <w:sz w:val="24"/>
        </w:rPr>
        <w:t>76</w:t>
      </w:r>
      <w:r w:rsidR="007B1C52" w:rsidRPr="00880FCE">
        <w:rPr>
          <w:rFonts w:ascii="仿宋_GB2312" w:hAnsi="宋体" w:hint="eastAsia"/>
          <w:bCs/>
          <w:color w:val="000000"/>
          <w:sz w:val="24"/>
        </w:rPr>
        <w:t>号）的相关要求。</w:t>
      </w:r>
    </w:p>
    <w:p w14:paraId="6271D8E8" w14:textId="77777777" w:rsidR="004D05C8" w:rsidRPr="00880FCE" w:rsidRDefault="000C0353" w:rsidP="004D05C8">
      <w:pPr>
        <w:spacing w:line="400" w:lineRule="exact"/>
        <w:ind w:firstLineChars="200" w:firstLine="480"/>
        <w:rPr>
          <w:rFonts w:ascii="仿宋_GB2312" w:hAnsi="宋体"/>
          <w:bCs/>
          <w:color w:val="000000"/>
          <w:sz w:val="24"/>
        </w:rPr>
      </w:pPr>
      <w:r w:rsidRPr="00880FCE">
        <w:rPr>
          <w:rFonts w:ascii="仿宋_GB2312" w:hAnsi="宋体" w:hint="eastAsia"/>
          <w:bCs/>
          <w:color w:val="000000"/>
          <w:sz w:val="24"/>
        </w:rPr>
        <w:t>（2）</w:t>
      </w:r>
      <w:r w:rsidR="007B1C52" w:rsidRPr="00880FCE">
        <w:rPr>
          <w:rFonts w:ascii="仿宋_GB2312" w:hAnsi="宋体" w:hint="eastAsia"/>
          <w:bCs/>
          <w:color w:val="000000"/>
          <w:sz w:val="24"/>
        </w:rPr>
        <w:t>本项目装配式结构设计符合《福建省工业化建筑认定管理（试行）办法》的相关规定，同意</w:t>
      </w:r>
      <w:r w:rsidR="007B1C52" w:rsidRPr="00880FCE">
        <w:rPr>
          <w:rFonts w:ascii="仿宋_GB2312" w:hAnsi="宋体"/>
          <w:bCs/>
          <w:color w:val="000000"/>
          <w:sz w:val="24"/>
        </w:rPr>
        <w:t>1#-1</w:t>
      </w:r>
      <w:r w:rsidR="007B1C52" w:rsidRPr="00880FCE">
        <w:rPr>
          <w:rFonts w:ascii="仿宋_GB2312" w:hAnsi="宋体" w:hint="eastAsia"/>
          <w:bCs/>
          <w:color w:val="000000"/>
          <w:sz w:val="24"/>
        </w:rPr>
        <w:t>号楼、</w:t>
      </w:r>
      <w:r w:rsidR="007B1C52" w:rsidRPr="00880FCE">
        <w:rPr>
          <w:rFonts w:ascii="仿宋_GB2312" w:hAnsi="宋体"/>
          <w:bCs/>
          <w:color w:val="000000"/>
          <w:sz w:val="24"/>
        </w:rPr>
        <w:t>1#-2</w:t>
      </w:r>
      <w:r w:rsidR="007B1C52" w:rsidRPr="00880FCE">
        <w:rPr>
          <w:rFonts w:ascii="仿宋_GB2312" w:hAnsi="宋体" w:hint="eastAsia"/>
          <w:bCs/>
          <w:color w:val="000000"/>
          <w:sz w:val="24"/>
        </w:rPr>
        <w:t>号楼、</w:t>
      </w:r>
      <w:r w:rsidR="007B1C52" w:rsidRPr="00880FCE">
        <w:rPr>
          <w:rFonts w:ascii="仿宋_GB2312" w:hAnsi="宋体"/>
          <w:bCs/>
          <w:color w:val="000000"/>
          <w:sz w:val="24"/>
        </w:rPr>
        <w:t>1#-3</w:t>
      </w:r>
      <w:r w:rsidR="007B1C52" w:rsidRPr="00880FCE">
        <w:rPr>
          <w:rFonts w:ascii="仿宋_GB2312" w:hAnsi="宋体" w:hint="eastAsia"/>
          <w:bCs/>
          <w:color w:val="000000"/>
          <w:sz w:val="24"/>
        </w:rPr>
        <w:t>号楼及</w:t>
      </w:r>
      <w:r w:rsidR="007B1C52" w:rsidRPr="00880FCE">
        <w:rPr>
          <w:rFonts w:ascii="仿宋_GB2312" w:hAnsi="宋体"/>
          <w:bCs/>
          <w:color w:val="000000"/>
          <w:sz w:val="24"/>
        </w:rPr>
        <w:t>1#-P</w:t>
      </w:r>
      <w:r w:rsidR="007B1C52" w:rsidRPr="00880FCE">
        <w:rPr>
          <w:rFonts w:ascii="仿宋_GB2312" w:hAnsi="宋体" w:hint="eastAsia"/>
          <w:bCs/>
          <w:color w:val="000000"/>
          <w:sz w:val="24"/>
        </w:rPr>
        <w:t>号楼设计阶段认定为工业化建筑。</w:t>
      </w:r>
    </w:p>
    <w:p w14:paraId="449B1D8A" w14:textId="77777777" w:rsidR="007B1C52" w:rsidRPr="00880FCE" w:rsidRDefault="000C0353" w:rsidP="004D05C8">
      <w:pPr>
        <w:spacing w:line="400" w:lineRule="exact"/>
        <w:ind w:firstLineChars="200" w:firstLine="480"/>
        <w:rPr>
          <w:rFonts w:ascii="仿宋_GB2312" w:hAnsi="宋体"/>
          <w:bCs/>
          <w:color w:val="000000"/>
          <w:sz w:val="24"/>
        </w:rPr>
      </w:pPr>
      <w:r w:rsidRPr="00880FCE">
        <w:rPr>
          <w:rFonts w:ascii="仿宋_GB2312" w:hAnsi="宋体" w:hint="eastAsia"/>
          <w:bCs/>
          <w:color w:val="000000"/>
          <w:sz w:val="24"/>
        </w:rPr>
        <w:t>（3）复核预制女儿墙两端</w:t>
      </w:r>
      <w:proofErr w:type="gramStart"/>
      <w:r w:rsidRPr="00880FCE">
        <w:rPr>
          <w:rFonts w:ascii="仿宋_GB2312" w:hAnsi="宋体" w:hint="eastAsia"/>
          <w:bCs/>
          <w:color w:val="000000"/>
          <w:sz w:val="24"/>
        </w:rPr>
        <w:t>受力暗柱的</w:t>
      </w:r>
      <w:proofErr w:type="gramEnd"/>
      <w:r w:rsidRPr="00880FCE">
        <w:rPr>
          <w:rFonts w:ascii="仿宋_GB2312" w:hAnsi="宋体" w:hint="eastAsia"/>
          <w:bCs/>
          <w:color w:val="000000"/>
          <w:sz w:val="24"/>
        </w:rPr>
        <w:t>安全性。</w:t>
      </w:r>
    </w:p>
    <w:p w14:paraId="0DC90822" w14:textId="77777777" w:rsidR="000C0353" w:rsidRPr="00880FCE" w:rsidRDefault="000C0353" w:rsidP="004D05C8">
      <w:pPr>
        <w:spacing w:line="400" w:lineRule="exact"/>
        <w:ind w:firstLineChars="200" w:firstLine="480"/>
        <w:rPr>
          <w:rFonts w:ascii="仿宋_GB2312" w:hAnsi="宋体"/>
          <w:bCs/>
          <w:color w:val="000000"/>
          <w:sz w:val="24"/>
        </w:rPr>
      </w:pPr>
      <w:r w:rsidRPr="00880FCE">
        <w:rPr>
          <w:rFonts w:ascii="仿宋_GB2312" w:hAnsi="宋体" w:hint="eastAsia"/>
          <w:bCs/>
          <w:color w:val="000000"/>
          <w:sz w:val="24"/>
        </w:rPr>
        <w:t>（4）建施、</w:t>
      </w:r>
      <w:proofErr w:type="gramStart"/>
      <w:r w:rsidRPr="00880FCE">
        <w:rPr>
          <w:rFonts w:ascii="仿宋_GB2312" w:hAnsi="宋体" w:hint="eastAsia"/>
          <w:bCs/>
          <w:color w:val="000000"/>
          <w:sz w:val="24"/>
        </w:rPr>
        <w:t>结施总</w:t>
      </w:r>
      <w:proofErr w:type="gramEnd"/>
      <w:r w:rsidRPr="00880FCE">
        <w:rPr>
          <w:rFonts w:ascii="仿宋_GB2312" w:hAnsi="宋体" w:hint="eastAsia"/>
          <w:bCs/>
          <w:color w:val="000000"/>
          <w:sz w:val="24"/>
        </w:rPr>
        <w:t>说明中预制内墙板描述应与深化图纸一致。</w:t>
      </w:r>
    </w:p>
    <w:p w14:paraId="7449C163" w14:textId="77777777" w:rsidR="004D05C8" w:rsidRPr="00880FCE" w:rsidRDefault="004D05C8" w:rsidP="004D05C8">
      <w:pPr>
        <w:spacing w:line="400" w:lineRule="exact"/>
        <w:ind w:firstLineChars="200" w:firstLine="560"/>
        <w:rPr>
          <w:rFonts w:ascii="仿宋_GB2312" w:hAnsi="宋体"/>
          <w:bCs/>
          <w:color w:val="000000"/>
          <w:sz w:val="28"/>
          <w:szCs w:val="28"/>
        </w:rPr>
      </w:pPr>
    </w:p>
    <w:p w14:paraId="4C8CE647" w14:textId="77777777" w:rsidR="007B1C52" w:rsidRPr="00880FCE" w:rsidRDefault="007B1C52" w:rsidP="00D473B5">
      <w:pPr>
        <w:spacing w:line="240" w:lineRule="atLeast"/>
        <w:rPr>
          <w:rFonts w:ascii="仿宋_GB2312" w:hAnsi="宋体"/>
          <w:bCs/>
          <w:color w:val="000000"/>
          <w:sz w:val="24"/>
        </w:rPr>
      </w:pPr>
      <w:r w:rsidRPr="00880FCE">
        <w:rPr>
          <w:rFonts w:ascii="仿宋_GB2312" w:hAnsi="宋体" w:hint="eastAsia"/>
          <w:bCs/>
          <w:color w:val="000000"/>
          <w:sz w:val="24"/>
        </w:rPr>
        <w:t>专家名单：</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3969"/>
        <w:gridCol w:w="3311"/>
      </w:tblGrid>
      <w:tr w:rsidR="00880FCE" w:rsidRPr="00880FCE" w14:paraId="750C64AA" w14:textId="77777777" w:rsidTr="00505CC1">
        <w:trPr>
          <w:trHeight w:val="1021"/>
        </w:trPr>
        <w:tc>
          <w:tcPr>
            <w:tcW w:w="1242" w:type="dxa"/>
            <w:vAlign w:val="center"/>
          </w:tcPr>
          <w:p w14:paraId="7893FFC3" w14:textId="77777777" w:rsidR="00880FCE" w:rsidRPr="00880FCE" w:rsidRDefault="00880FCE" w:rsidP="00F32AA7">
            <w:pPr>
              <w:widowControl/>
              <w:spacing w:line="240" w:lineRule="atLeast"/>
              <w:jc w:val="left"/>
              <w:rPr>
                <w:rFonts w:ascii="仿宋_GB2312" w:hAnsi="宋体" w:hint="eastAsia"/>
                <w:bCs/>
                <w:color w:val="000000"/>
                <w:sz w:val="24"/>
              </w:rPr>
            </w:pPr>
            <w:proofErr w:type="gramStart"/>
            <w:r w:rsidRPr="00880FCE">
              <w:rPr>
                <w:rFonts w:ascii="仿宋_GB2312" w:hAnsi="宋体" w:hint="eastAsia"/>
                <w:bCs/>
                <w:color w:val="000000"/>
                <w:sz w:val="24"/>
              </w:rPr>
              <w:t>郑卫基</w:t>
            </w:r>
            <w:proofErr w:type="gramEnd"/>
          </w:p>
        </w:tc>
        <w:tc>
          <w:tcPr>
            <w:tcW w:w="3969" w:type="dxa"/>
            <w:vAlign w:val="center"/>
          </w:tcPr>
          <w:p w14:paraId="60C7CCAE" w14:textId="77777777" w:rsidR="00880FCE" w:rsidRPr="00880FCE" w:rsidRDefault="00880FCE" w:rsidP="00F32AA7">
            <w:pPr>
              <w:widowControl/>
              <w:spacing w:line="240" w:lineRule="atLeast"/>
              <w:jc w:val="left"/>
              <w:rPr>
                <w:rFonts w:ascii="仿宋_GB2312" w:hAnsi="宋体" w:hint="eastAsia"/>
                <w:bCs/>
                <w:color w:val="000000"/>
                <w:sz w:val="24"/>
              </w:rPr>
            </w:pPr>
            <w:r w:rsidRPr="00880FCE">
              <w:rPr>
                <w:rFonts w:ascii="仿宋_GB2312" w:hAnsi="宋体" w:hint="eastAsia"/>
                <w:bCs/>
                <w:color w:val="000000"/>
                <w:sz w:val="24"/>
              </w:rPr>
              <w:t>福建省建筑工程技术中心</w:t>
            </w:r>
          </w:p>
        </w:tc>
        <w:tc>
          <w:tcPr>
            <w:tcW w:w="3311" w:type="dxa"/>
            <w:vAlign w:val="center"/>
          </w:tcPr>
          <w:p w14:paraId="6C041E54" w14:textId="77777777" w:rsidR="00880FCE" w:rsidRPr="00880FCE" w:rsidRDefault="00880FCE" w:rsidP="00F32AA7">
            <w:pPr>
              <w:widowControl/>
              <w:spacing w:line="240" w:lineRule="atLeast"/>
              <w:jc w:val="left"/>
              <w:rPr>
                <w:rFonts w:ascii="仿宋_GB2312" w:hAnsi="宋体"/>
                <w:bCs/>
                <w:color w:val="000000"/>
                <w:sz w:val="24"/>
              </w:rPr>
            </w:pPr>
            <w:r w:rsidRPr="00880FCE">
              <w:rPr>
                <w:rFonts w:ascii="仿宋_GB2312" w:hAnsi="宋体" w:hint="eastAsia"/>
                <w:bCs/>
                <w:color w:val="000000"/>
                <w:sz w:val="24"/>
              </w:rPr>
              <w:t>教授级高工</w:t>
            </w:r>
          </w:p>
        </w:tc>
      </w:tr>
      <w:tr w:rsidR="00880FCE" w:rsidRPr="00880FCE" w14:paraId="0DE805A4" w14:textId="77777777" w:rsidTr="00505CC1">
        <w:trPr>
          <w:trHeight w:val="1021"/>
        </w:trPr>
        <w:tc>
          <w:tcPr>
            <w:tcW w:w="1242" w:type="dxa"/>
            <w:vAlign w:val="center"/>
          </w:tcPr>
          <w:p w14:paraId="777EBA2D" w14:textId="77777777" w:rsidR="00880FCE" w:rsidRPr="00880FCE" w:rsidRDefault="00880FCE" w:rsidP="00F32AA7">
            <w:pPr>
              <w:widowControl/>
              <w:spacing w:line="240" w:lineRule="atLeast"/>
              <w:jc w:val="left"/>
              <w:rPr>
                <w:rFonts w:ascii="仿宋_GB2312" w:hAnsi="宋体" w:hint="eastAsia"/>
                <w:bCs/>
                <w:color w:val="000000"/>
                <w:sz w:val="24"/>
              </w:rPr>
            </w:pPr>
            <w:proofErr w:type="gramStart"/>
            <w:r w:rsidRPr="00880FCE">
              <w:rPr>
                <w:rFonts w:ascii="仿宋_GB2312" w:hAnsi="宋体" w:hint="eastAsia"/>
                <w:bCs/>
                <w:color w:val="000000"/>
                <w:sz w:val="24"/>
              </w:rPr>
              <w:t>翁锦华</w:t>
            </w:r>
            <w:proofErr w:type="gramEnd"/>
          </w:p>
        </w:tc>
        <w:tc>
          <w:tcPr>
            <w:tcW w:w="3969" w:type="dxa"/>
            <w:vAlign w:val="center"/>
          </w:tcPr>
          <w:p w14:paraId="53B94A41" w14:textId="77777777" w:rsidR="00880FCE" w:rsidRPr="00880FCE" w:rsidRDefault="00880FCE" w:rsidP="00F32AA7">
            <w:pPr>
              <w:widowControl/>
              <w:spacing w:line="240" w:lineRule="atLeast"/>
              <w:jc w:val="left"/>
              <w:rPr>
                <w:rFonts w:ascii="仿宋_GB2312" w:hAnsi="宋体" w:hint="eastAsia"/>
                <w:bCs/>
                <w:color w:val="000000"/>
                <w:sz w:val="24"/>
              </w:rPr>
            </w:pPr>
            <w:r w:rsidRPr="00880FCE">
              <w:rPr>
                <w:rFonts w:ascii="仿宋_GB2312" w:hAnsi="宋体" w:hint="eastAsia"/>
                <w:bCs/>
                <w:color w:val="000000"/>
                <w:sz w:val="24"/>
              </w:rPr>
              <w:t>福州市建筑设计院</w:t>
            </w:r>
          </w:p>
        </w:tc>
        <w:tc>
          <w:tcPr>
            <w:tcW w:w="3311" w:type="dxa"/>
            <w:vAlign w:val="center"/>
          </w:tcPr>
          <w:p w14:paraId="06628DD6" w14:textId="77777777" w:rsidR="00880FCE" w:rsidRPr="00880FCE" w:rsidRDefault="00880FCE" w:rsidP="00F32AA7">
            <w:pPr>
              <w:widowControl/>
              <w:spacing w:line="240" w:lineRule="atLeast"/>
              <w:jc w:val="left"/>
              <w:rPr>
                <w:rFonts w:ascii="仿宋_GB2312" w:hAnsi="宋体"/>
                <w:bCs/>
                <w:color w:val="000000"/>
                <w:sz w:val="24"/>
              </w:rPr>
            </w:pPr>
            <w:r w:rsidRPr="00880FCE">
              <w:rPr>
                <w:rFonts w:ascii="仿宋_GB2312" w:hAnsi="宋体" w:hint="eastAsia"/>
                <w:bCs/>
                <w:color w:val="000000"/>
                <w:sz w:val="24"/>
              </w:rPr>
              <w:t>教授级高工</w:t>
            </w:r>
          </w:p>
        </w:tc>
      </w:tr>
      <w:tr w:rsidR="00880FCE" w:rsidRPr="00880FCE" w14:paraId="0536AC07" w14:textId="77777777" w:rsidTr="00505CC1">
        <w:trPr>
          <w:trHeight w:val="1021"/>
        </w:trPr>
        <w:tc>
          <w:tcPr>
            <w:tcW w:w="1242" w:type="dxa"/>
            <w:vAlign w:val="center"/>
          </w:tcPr>
          <w:p w14:paraId="192D0F37" w14:textId="77777777" w:rsidR="00880FCE" w:rsidRPr="00880FCE" w:rsidRDefault="00880FCE" w:rsidP="00F32AA7">
            <w:pPr>
              <w:widowControl/>
              <w:spacing w:line="240" w:lineRule="atLeast"/>
              <w:jc w:val="left"/>
              <w:rPr>
                <w:rFonts w:ascii="仿宋_GB2312" w:hAnsi="宋体" w:hint="eastAsia"/>
                <w:bCs/>
                <w:color w:val="000000"/>
                <w:sz w:val="24"/>
              </w:rPr>
            </w:pPr>
            <w:r w:rsidRPr="00880FCE">
              <w:rPr>
                <w:rFonts w:ascii="仿宋_GB2312" w:hAnsi="宋体" w:hint="eastAsia"/>
                <w:bCs/>
                <w:color w:val="000000"/>
                <w:sz w:val="24"/>
              </w:rPr>
              <w:t>石晓航</w:t>
            </w:r>
          </w:p>
        </w:tc>
        <w:tc>
          <w:tcPr>
            <w:tcW w:w="3969" w:type="dxa"/>
            <w:vAlign w:val="center"/>
          </w:tcPr>
          <w:p w14:paraId="70AD7204" w14:textId="77777777" w:rsidR="00880FCE" w:rsidRPr="00880FCE" w:rsidRDefault="00880FCE" w:rsidP="00F32AA7">
            <w:pPr>
              <w:widowControl/>
              <w:spacing w:line="240" w:lineRule="atLeast"/>
              <w:jc w:val="left"/>
              <w:rPr>
                <w:rFonts w:ascii="仿宋_GB2312" w:hAnsi="宋体" w:hint="eastAsia"/>
                <w:bCs/>
                <w:color w:val="000000"/>
                <w:sz w:val="24"/>
              </w:rPr>
            </w:pPr>
            <w:r w:rsidRPr="00880FCE">
              <w:rPr>
                <w:rFonts w:ascii="仿宋_GB2312" w:hAnsi="宋体" w:hint="eastAsia"/>
                <w:bCs/>
                <w:color w:val="000000"/>
                <w:sz w:val="24"/>
              </w:rPr>
              <w:t>福建经福建筑设计工程有限公司</w:t>
            </w:r>
          </w:p>
        </w:tc>
        <w:tc>
          <w:tcPr>
            <w:tcW w:w="3311" w:type="dxa"/>
            <w:vAlign w:val="center"/>
          </w:tcPr>
          <w:p w14:paraId="48FBF6C4" w14:textId="77777777" w:rsidR="00880FCE" w:rsidRPr="00880FCE" w:rsidRDefault="00880FCE" w:rsidP="00F32AA7">
            <w:pPr>
              <w:widowControl/>
              <w:spacing w:line="240" w:lineRule="atLeast"/>
              <w:jc w:val="left"/>
              <w:rPr>
                <w:rFonts w:ascii="仿宋_GB2312" w:hAnsi="宋体"/>
                <w:bCs/>
                <w:color w:val="000000"/>
                <w:sz w:val="24"/>
              </w:rPr>
            </w:pPr>
            <w:r w:rsidRPr="00880FCE">
              <w:rPr>
                <w:rFonts w:ascii="仿宋_GB2312" w:hAnsi="宋体" w:hint="eastAsia"/>
                <w:bCs/>
                <w:color w:val="000000"/>
                <w:sz w:val="24"/>
              </w:rPr>
              <w:t>工程师</w:t>
            </w:r>
          </w:p>
        </w:tc>
      </w:tr>
    </w:tbl>
    <w:p w14:paraId="6758BE89" w14:textId="40262FF2" w:rsidR="007B1C52" w:rsidRPr="00880FCE" w:rsidRDefault="007B1C52" w:rsidP="00D473B5">
      <w:pPr>
        <w:spacing w:line="240" w:lineRule="atLeast"/>
        <w:ind w:right="160"/>
        <w:jc w:val="right"/>
        <w:rPr>
          <w:rFonts w:ascii="仿宋_GB2312" w:hAnsi="宋体"/>
          <w:bCs/>
          <w:color w:val="000000"/>
          <w:sz w:val="24"/>
        </w:rPr>
      </w:pPr>
      <w:r w:rsidRPr="00880FCE">
        <w:rPr>
          <w:rFonts w:ascii="仿宋_GB2312" w:hAnsi="宋体"/>
          <w:bCs/>
          <w:color w:val="000000"/>
          <w:sz w:val="24"/>
        </w:rPr>
        <w:t>2020</w:t>
      </w:r>
      <w:r w:rsidRPr="00880FCE">
        <w:rPr>
          <w:rFonts w:ascii="仿宋_GB2312" w:hAnsi="宋体" w:hint="eastAsia"/>
          <w:bCs/>
          <w:color w:val="000000"/>
          <w:sz w:val="24"/>
        </w:rPr>
        <w:t>年</w:t>
      </w:r>
      <w:r w:rsidR="00880FCE" w:rsidRPr="00880FCE">
        <w:rPr>
          <w:rFonts w:ascii="仿宋_GB2312" w:hAnsi="宋体"/>
          <w:bCs/>
          <w:color w:val="000000"/>
          <w:sz w:val="24"/>
        </w:rPr>
        <w:t>7</w:t>
      </w:r>
      <w:r w:rsidRPr="00880FCE">
        <w:rPr>
          <w:rFonts w:ascii="仿宋_GB2312" w:hAnsi="宋体" w:hint="eastAsia"/>
          <w:bCs/>
          <w:color w:val="000000"/>
          <w:sz w:val="24"/>
        </w:rPr>
        <w:t>月</w:t>
      </w:r>
      <w:r w:rsidRPr="00880FCE">
        <w:rPr>
          <w:rFonts w:ascii="仿宋_GB2312" w:hAnsi="宋体"/>
          <w:bCs/>
          <w:color w:val="000000"/>
          <w:sz w:val="24"/>
        </w:rPr>
        <w:t>2</w:t>
      </w:r>
      <w:r w:rsidR="00880FCE" w:rsidRPr="00880FCE">
        <w:rPr>
          <w:rFonts w:ascii="仿宋_GB2312" w:hAnsi="宋体"/>
          <w:bCs/>
          <w:color w:val="000000"/>
          <w:sz w:val="24"/>
        </w:rPr>
        <w:t>0</w:t>
      </w:r>
      <w:r w:rsidRPr="00880FCE">
        <w:rPr>
          <w:rFonts w:ascii="仿宋_GB2312" w:hAnsi="宋体" w:hint="eastAsia"/>
          <w:bCs/>
          <w:color w:val="000000"/>
          <w:sz w:val="24"/>
        </w:rPr>
        <w:t>日</w:t>
      </w:r>
    </w:p>
    <w:sectPr w:rsidR="007B1C52" w:rsidRPr="00880FCE" w:rsidSect="00BD25A5">
      <w:pgSz w:w="11906" w:h="16838"/>
      <w:pgMar w:top="1440" w:right="1800" w:bottom="1440" w:left="1800" w:header="851" w:footer="85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A2803" w14:textId="77777777" w:rsidR="00C21B00" w:rsidRDefault="00C21B00" w:rsidP="000C0353">
      <w:r>
        <w:separator/>
      </w:r>
    </w:p>
  </w:endnote>
  <w:endnote w:type="continuationSeparator" w:id="0">
    <w:p w14:paraId="1B1304FB" w14:textId="77777777" w:rsidR="00C21B00" w:rsidRDefault="00C21B00" w:rsidP="000C0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3EDFD" w14:textId="77777777" w:rsidR="00C21B00" w:rsidRDefault="00C21B00" w:rsidP="000C0353">
      <w:r>
        <w:separator/>
      </w:r>
    </w:p>
  </w:footnote>
  <w:footnote w:type="continuationSeparator" w:id="0">
    <w:p w14:paraId="4F6A53AA" w14:textId="77777777" w:rsidR="00C21B00" w:rsidRDefault="00C21B00" w:rsidP="000C0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678F1"/>
    <w:rsid w:val="00001B22"/>
    <w:rsid w:val="0000283D"/>
    <w:rsid w:val="00010964"/>
    <w:rsid w:val="000146F1"/>
    <w:rsid w:val="00031127"/>
    <w:rsid w:val="0004477B"/>
    <w:rsid w:val="00047EB2"/>
    <w:rsid w:val="0007069E"/>
    <w:rsid w:val="00077D10"/>
    <w:rsid w:val="000C0353"/>
    <w:rsid w:val="000D1E2F"/>
    <w:rsid w:val="000F46CB"/>
    <w:rsid w:val="0010062D"/>
    <w:rsid w:val="00102AA7"/>
    <w:rsid w:val="001033B3"/>
    <w:rsid w:val="0010602A"/>
    <w:rsid w:val="00115E48"/>
    <w:rsid w:val="00122A0B"/>
    <w:rsid w:val="00126E41"/>
    <w:rsid w:val="00132E0C"/>
    <w:rsid w:val="0014787D"/>
    <w:rsid w:val="00171F08"/>
    <w:rsid w:val="0017310D"/>
    <w:rsid w:val="00194C1F"/>
    <w:rsid w:val="001963D6"/>
    <w:rsid w:val="001C4251"/>
    <w:rsid w:val="001E26E0"/>
    <w:rsid w:val="001F36AF"/>
    <w:rsid w:val="001F6650"/>
    <w:rsid w:val="00201A39"/>
    <w:rsid w:val="002276C6"/>
    <w:rsid w:val="002564A1"/>
    <w:rsid w:val="0027394F"/>
    <w:rsid w:val="00275F6B"/>
    <w:rsid w:val="002878A4"/>
    <w:rsid w:val="002F1876"/>
    <w:rsid w:val="00313EDE"/>
    <w:rsid w:val="00336B4A"/>
    <w:rsid w:val="00386DC6"/>
    <w:rsid w:val="00395FE2"/>
    <w:rsid w:val="003B19E1"/>
    <w:rsid w:val="003C3DA3"/>
    <w:rsid w:val="003C5583"/>
    <w:rsid w:val="003E2570"/>
    <w:rsid w:val="003F1080"/>
    <w:rsid w:val="003F29B4"/>
    <w:rsid w:val="00401717"/>
    <w:rsid w:val="00401DC9"/>
    <w:rsid w:val="00405489"/>
    <w:rsid w:val="004134B0"/>
    <w:rsid w:val="00452851"/>
    <w:rsid w:val="00454C02"/>
    <w:rsid w:val="00470502"/>
    <w:rsid w:val="00470F87"/>
    <w:rsid w:val="00472DE0"/>
    <w:rsid w:val="00473323"/>
    <w:rsid w:val="00497AC5"/>
    <w:rsid w:val="004B0A0F"/>
    <w:rsid w:val="004C1189"/>
    <w:rsid w:val="004D05C8"/>
    <w:rsid w:val="004D662F"/>
    <w:rsid w:val="004E0F00"/>
    <w:rsid w:val="00501F00"/>
    <w:rsid w:val="00505CC1"/>
    <w:rsid w:val="00516B10"/>
    <w:rsid w:val="00542F98"/>
    <w:rsid w:val="00552FBD"/>
    <w:rsid w:val="00570225"/>
    <w:rsid w:val="005933D1"/>
    <w:rsid w:val="00593FED"/>
    <w:rsid w:val="005A2643"/>
    <w:rsid w:val="005A4799"/>
    <w:rsid w:val="005B1F0A"/>
    <w:rsid w:val="005C24E9"/>
    <w:rsid w:val="005C70D8"/>
    <w:rsid w:val="005D20BF"/>
    <w:rsid w:val="005D5E31"/>
    <w:rsid w:val="005E4295"/>
    <w:rsid w:val="005F116A"/>
    <w:rsid w:val="006207BF"/>
    <w:rsid w:val="00637807"/>
    <w:rsid w:val="00662CC7"/>
    <w:rsid w:val="006700FC"/>
    <w:rsid w:val="00672469"/>
    <w:rsid w:val="00683C5D"/>
    <w:rsid w:val="006917C5"/>
    <w:rsid w:val="0069432D"/>
    <w:rsid w:val="006A2D8E"/>
    <w:rsid w:val="006B3BF2"/>
    <w:rsid w:val="006E5018"/>
    <w:rsid w:val="006E72C0"/>
    <w:rsid w:val="006F6842"/>
    <w:rsid w:val="00716E46"/>
    <w:rsid w:val="00720B01"/>
    <w:rsid w:val="007244D2"/>
    <w:rsid w:val="00725480"/>
    <w:rsid w:val="0076048A"/>
    <w:rsid w:val="00764349"/>
    <w:rsid w:val="007667C3"/>
    <w:rsid w:val="007877E5"/>
    <w:rsid w:val="007B001B"/>
    <w:rsid w:val="007B100A"/>
    <w:rsid w:val="007B1C52"/>
    <w:rsid w:val="007C0C62"/>
    <w:rsid w:val="007C41FD"/>
    <w:rsid w:val="007C5C37"/>
    <w:rsid w:val="007C5D22"/>
    <w:rsid w:val="007D542A"/>
    <w:rsid w:val="007F3ADF"/>
    <w:rsid w:val="007F43ED"/>
    <w:rsid w:val="007F7AD2"/>
    <w:rsid w:val="007F7F01"/>
    <w:rsid w:val="00835B9B"/>
    <w:rsid w:val="00835E6E"/>
    <w:rsid w:val="00836F3F"/>
    <w:rsid w:val="008453FD"/>
    <w:rsid w:val="00862F78"/>
    <w:rsid w:val="008631BE"/>
    <w:rsid w:val="00871BF4"/>
    <w:rsid w:val="00880FCE"/>
    <w:rsid w:val="00881ECF"/>
    <w:rsid w:val="00892760"/>
    <w:rsid w:val="008A5380"/>
    <w:rsid w:val="008C0A7F"/>
    <w:rsid w:val="008C6CDB"/>
    <w:rsid w:val="008D0CE4"/>
    <w:rsid w:val="008E68D6"/>
    <w:rsid w:val="008E7AA0"/>
    <w:rsid w:val="008F443E"/>
    <w:rsid w:val="008F4FA7"/>
    <w:rsid w:val="00977FE9"/>
    <w:rsid w:val="00996017"/>
    <w:rsid w:val="009B0975"/>
    <w:rsid w:val="009B5AEA"/>
    <w:rsid w:val="009C1334"/>
    <w:rsid w:val="009D0729"/>
    <w:rsid w:val="009D74D2"/>
    <w:rsid w:val="009E3C0B"/>
    <w:rsid w:val="009F3F01"/>
    <w:rsid w:val="00A06890"/>
    <w:rsid w:val="00A127BF"/>
    <w:rsid w:val="00A1638B"/>
    <w:rsid w:val="00A328CF"/>
    <w:rsid w:val="00A51CE5"/>
    <w:rsid w:val="00A57202"/>
    <w:rsid w:val="00A579A0"/>
    <w:rsid w:val="00A65FA3"/>
    <w:rsid w:val="00A87BC2"/>
    <w:rsid w:val="00A940B7"/>
    <w:rsid w:val="00AC2DF1"/>
    <w:rsid w:val="00AD52E2"/>
    <w:rsid w:val="00B00E2C"/>
    <w:rsid w:val="00B06F34"/>
    <w:rsid w:val="00B161FE"/>
    <w:rsid w:val="00B23714"/>
    <w:rsid w:val="00B32A22"/>
    <w:rsid w:val="00B331D6"/>
    <w:rsid w:val="00B37156"/>
    <w:rsid w:val="00B46B58"/>
    <w:rsid w:val="00B61F59"/>
    <w:rsid w:val="00B667C5"/>
    <w:rsid w:val="00B82041"/>
    <w:rsid w:val="00B97844"/>
    <w:rsid w:val="00BA4CCC"/>
    <w:rsid w:val="00BC371F"/>
    <w:rsid w:val="00BD25A5"/>
    <w:rsid w:val="00BD3D08"/>
    <w:rsid w:val="00BE7F9D"/>
    <w:rsid w:val="00BF26BD"/>
    <w:rsid w:val="00BF7DEB"/>
    <w:rsid w:val="00C04DA3"/>
    <w:rsid w:val="00C06CF4"/>
    <w:rsid w:val="00C21B00"/>
    <w:rsid w:val="00C31A6B"/>
    <w:rsid w:val="00C5093B"/>
    <w:rsid w:val="00C518AD"/>
    <w:rsid w:val="00C643A8"/>
    <w:rsid w:val="00C65907"/>
    <w:rsid w:val="00C9015F"/>
    <w:rsid w:val="00CA6D8C"/>
    <w:rsid w:val="00CB3DB3"/>
    <w:rsid w:val="00CF2E1A"/>
    <w:rsid w:val="00D0565A"/>
    <w:rsid w:val="00D12B36"/>
    <w:rsid w:val="00D206DF"/>
    <w:rsid w:val="00D21431"/>
    <w:rsid w:val="00D473B5"/>
    <w:rsid w:val="00D81B07"/>
    <w:rsid w:val="00D863FF"/>
    <w:rsid w:val="00DA012F"/>
    <w:rsid w:val="00DA518B"/>
    <w:rsid w:val="00DC1D70"/>
    <w:rsid w:val="00DE251E"/>
    <w:rsid w:val="00DF3095"/>
    <w:rsid w:val="00DF37A2"/>
    <w:rsid w:val="00E0083D"/>
    <w:rsid w:val="00E3475D"/>
    <w:rsid w:val="00E53EAD"/>
    <w:rsid w:val="00E678F1"/>
    <w:rsid w:val="00E76A6E"/>
    <w:rsid w:val="00E9304E"/>
    <w:rsid w:val="00E97743"/>
    <w:rsid w:val="00EB3C07"/>
    <w:rsid w:val="00EC3F63"/>
    <w:rsid w:val="00EC740C"/>
    <w:rsid w:val="00EE00A5"/>
    <w:rsid w:val="00F06F3C"/>
    <w:rsid w:val="00F26D4E"/>
    <w:rsid w:val="00F35AA1"/>
    <w:rsid w:val="00F411CB"/>
    <w:rsid w:val="00F506C3"/>
    <w:rsid w:val="00F52922"/>
    <w:rsid w:val="00F56423"/>
    <w:rsid w:val="00F57DBB"/>
    <w:rsid w:val="00F75491"/>
    <w:rsid w:val="00FA4649"/>
    <w:rsid w:val="00FB0B66"/>
    <w:rsid w:val="00FC00F3"/>
    <w:rsid w:val="00FF57E2"/>
    <w:rsid w:val="01854146"/>
    <w:rsid w:val="02AD602F"/>
    <w:rsid w:val="02AF00B3"/>
    <w:rsid w:val="02CE7EAB"/>
    <w:rsid w:val="03151AC3"/>
    <w:rsid w:val="06B17687"/>
    <w:rsid w:val="0860640D"/>
    <w:rsid w:val="0ADA1BC4"/>
    <w:rsid w:val="0BF36FF7"/>
    <w:rsid w:val="0C364933"/>
    <w:rsid w:val="0C540555"/>
    <w:rsid w:val="0D7350F2"/>
    <w:rsid w:val="0FEB62E3"/>
    <w:rsid w:val="10527066"/>
    <w:rsid w:val="12750247"/>
    <w:rsid w:val="130B3D11"/>
    <w:rsid w:val="147C11FC"/>
    <w:rsid w:val="14B053A7"/>
    <w:rsid w:val="1539655D"/>
    <w:rsid w:val="15F0183D"/>
    <w:rsid w:val="16940223"/>
    <w:rsid w:val="181025D6"/>
    <w:rsid w:val="1A4816C0"/>
    <w:rsid w:val="1A4C6BBB"/>
    <w:rsid w:val="1C471301"/>
    <w:rsid w:val="1DC21729"/>
    <w:rsid w:val="1DCC4B11"/>
    <w:rsid w:val="1E5969AD"/>
    <w:rsid w:val="1FA3511C"/>
    <w:rsid w:val="2114547D"/>
    <w:rsid w:val="222375F7"/>
    <w:rsid w:val="227F5EAB"/>
    <w:rsid w:val="2304780B"/>
    <w:rsid w:val="25297BA2"/>
    <w:rsid w:val="264323E4"/>
    <w:rsid w:val="27C5207C"/>
    <w:rsid w:val="288A2A7D"/>
    <w:rsid w:val="29F13054"/>
    <w:rsid w:val="2A763612"/>
    <w:rsid w:val="2E0E3CD2"/>
    <w:rsid w:val="2EB441D0"/>
    <w:rsid w:val="32AA10B9"/>
    <w:rsid w:val="33832625"/>
    <w:rsid w:val="35FF5A86"/>
    <w:rsid w:val="36307512"/>
    <w:rsid w:val="36520928"/>
    <w:rsid w:val="36CC4C76"/>
    <w:rsid w:val="370016E2"/>
    <w:rsid w:val="38A1306C"/>
    <w:rsid w:val="39BA2A24"/>
    <w:rsid w:val="3A957C68"/>
    <w:rsid w:val="3BDA5482"/>
    <w:rsid w:val="3BE12A7B"/>
    <w:rsid w:val="3C4A2BDA"/>
    <w:rsid w:val="3DDE15E1"/>
    <w:rsid w:val="3E612243"/>
    <w:rsid w:val="3FF52BA4"/>
    <w:rsid w:val="42984D94"/>
    <w:rsid w:val="42DF3068"/>
    <w:rsid w:val="43B66D3F"/>
    <w:rsid w:val="43CC6C26"/>
    <w:rsid w:val="43F97E07"/>
    <w:rsid w:val="452C451B"/>
    <w:rsid w:val="486662B1"/>
    <w:rsid w:val="48DB0A9A"/>
    <w:rsid w:val="495070E8"/>
    <w:rsid w:val="49604A66"/>
    <w:rsid w:val="4BB20089"/>
    <w:rsid w:val="4BC10885"/>
    <w:rsid w:val="4C1A4DC8"/>
    <w:rsid w:val="4C6B4EF9"/>
    <w:rsid w:val="4D026D32"/>
    <w:rsid w:val="4D2C74CB"/>
    <w:rsid w:val="4E286154"/>
    <w:rsid w:val="4FE64EF3"/>
    <w:rsid w:val="504A0E65"/>
    <w:rsid w:val="50675880"/>
    <w:rsid w:val="50C51AFA"/>
    <w:rsid w:val="50F950F8"/>
    <w:rsid w:val="51D80761"/>
    <w:rsid w:val="53083639"/>
    <w:rsid w:val="539A53CE"/>
    <w:rsid w:val="54686BAD"/>
    <w:rsid w:val="5A7A1531"/>
    <w:rsid w:val="5B9E0AC4"/>
    <w:rsid w:val="5C040C64"/>
    <w:rsid w:val="5D2141E0"/>
    <w:rsid w:val="5D633F30"/>
    <w:rsid w:val="5F291774"/>
    <w:rsid w:val="5F43625E"/>
    <w:rsid w:val="5F6E2F1E"/>
    <w:rsid w:val="5FDF0C9B"/>
    <w:rsid w:val="5FED1447"/>
    <w:rsid w:val="60FC3854"/>
    <w:rsid w:val="61232F56"/>
    <w:rsid w:val="62064B2C"/>
    <w:rsid w:val="6258321C"/>
    <w:rsid w:val="62CA3B2A"/>
    <w:rsid w:val="65462B98"/>
    <w:rsid w:val="65DA0EDC"/>
    <w:rsid w:val="66F2063F"/>
    <w:rsid w:val="672D4B1D"/>
    <w:rsid w:val="67706920"/>
    <w:rsid w:val="678F5EDC"/>
    <w:rsid w:val="67D60C4A"/>
    <w:rsid w:val="686B09A7"/>
    <w:rsid w:val="68850F92"/>
    <w:rsid w:val="6B2D53B2"/>
    <w:rsid w:val="6BC6086A"/>
    <w:rsid w:val="6C26114A"/>
    <w:rsid w:val="6E242CF9"/>
    <w:rsid w:val="722828EB"/>
    <w:rsid w:val="72C055D8"/>
    <w:rsid w:val="74742163"/>
    <w:rsid w:val="74F44767"/>
    <w:rsid w:val="75E959AD"/>
    <w:rsid w:val="78E95987"/>
    <w:rsid w:val="793C11AE"/>
    <w:rsid w:val="7A6F2CDF"/>
    <w:rsid w:val="7B0336F0"/>
    <w:rsid w:val="7B2D19F1"/>
    <w:rsid w:val="7BA65465"/>
    <w:rsid w:val="7BC86229"/>
    <w:rsid w:val="7BF417FA"/>
    <w:rsid w:val="7C6B473E"/>
    <w:rsid w:val="7C9C3B46"/>
    <w:rsid w:val="7CD24105"/>
    <w:rsid w:val="7EC26F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6EACF3"/>
  <w15:docId w15:val="{403ABD17-F93E-4E22-B742-FD8D43AB0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黑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locked="1" w:semiHidden="1" w:uiPriority="0"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uiPriority="0"/>
    <w:lsdException w:name="Table Grid" w:semiHidden="1" w:uiPriority="59" w:unhideWhenUsed="1"/>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5A5"/>
    <w:pPr>
      <w:widowControl w:val="0"/>
      <w:jc w:val="both"/>
    </w:pPr>
    <w:rPr>
      <w:rFonts w:eastAsia="仿宋_GB2312"/>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D25A5"/>
    <w:pPr>
      <w:tabs>
        <w:tab w:val="center" w:pos="4153"/>
        <w:tab w:val="right" w:pos="8306"/>
      </w:tabs>
      <w:snapToGrid w:val="0"/>
      <w:jc w:val="left"/>
    </w:pPr>
    <w:rPr>
      <w:rFonts w:eastAsia="黑体"/>
      <w:sz w:val="18"/>
      <w:szCs w:val="18"/>
    </w:rPr>
  </w:style>
  <w:style w:type="character" w:customStyle="1" w:styleId="a4">
    <w:name w:val="页脚 字符"/>
    <w:link w:val="a3"/>
    <w:uiPriority w:val="99"/>
    <w:locked/>
    <w:rsid w:val="00BD25A5"/>
    <w:rPr>
      <w:kern w:val="2"/>
      <w:sz w:val="18"/>
    </w:rPr>
  </w:style>
  <w:style w:type="paragraph" w:styleId="a5">
    <w:name w:val="header"/>
    <w:basedOn w:val="a"/>
    <w:link w:val="a6"/>
    <w:uiPriority w:val="99"/>
    <w:rsid w:val="00BD25A5"/>
    <w:pPr>
      <w:pBdr>
        <w:bottom w:val="single" w:sz="6" w:space="1" w:color="auto"/>
      </w:pBdr>
      <w:tabs>
        <w:tab w:val="center" w:pos="4153"/>
        <w:tab w:val="right" w:pos="8306"/>
      </w:tabs>
      <w:snapToGrid w:val="0"/>
      <w:jc w:val="center"/>
    </w:pPr>
    <w:rPr>
      <w:rFonts w:eastAsia="黑体"/>
      <w:sz w:val="18"/>
      <w:szCs w:val="18"/>
    </w:rPr>
  </w:style>
  <w:style w:type="character" w:customStyle="1" w:styleId="a6">
    <w:name w:val="页眉 字符"/>
    <w:link w:val="a5"/>
    <w:uiPriority w:val="99"/>
    <w:locked/>
    <w:rsid w:val="00BD25A5"/>
    <w:rPr>
      <w:kern w:val="2"/>
      <w:sz w:val="18"/>
    </w:rPr>
  </w:style>
  <w:style w:type="paragraph" w:styleId="a7">
    <w:name w:val="Normal (Web)"/>
    <w:basedOn w:val="a"/>
    <w:uiPriority w:val="99"/>
    <w:rsid w:val="00BD25A5"/>
    <w:pPr>
      <w:widowControl/>
      <w:spacing w:before="100" w:beforeAutospacing="1" w:after="100" w:afterAutospacing="1"/>
      <w:jc w:val="left"/>
    </w:pPr>
    <w:rPr>
      <w:rFonts w:ascii="宋体" w:hAnsi="宋体" w:cs="宋体"/>
      <w:kern w:val="0"/>
      <w:sz w:val="24"/>
    </w:rPr>
  </w:style>
  <w:style w:type="paragraph" w:customStyle="1" w:styleId="p0">
    <w:name w:val="p0"/>
    <w:basedOn w:val="a"/>
    <w:uiPriority w:val="99"/>
    <w:rsid w:val="00BD25A5"/>
    <w:pPr>
      <w:widowControl/>
    </w:pPr>
    <w:rPr>
      <w:kern w:val="0"/>
      <w:sz w:val="32"/>
      <w:szCs w:val="32"/>
    </w:rPr>
  </w:style>
  <w:style w:type="paragraph" w:styleId="a8">
    <w:name w:val="List Paragraph"/>
    <w:basedOn w:val="a"/>
    <w:uiPriority w:val="99"/>
    <w:qFormat/>
    <w:rsid w:val="00BD25A5"/>
    <w:pPr>
      <w:ind w:firstLineChars="200" w:firstLine="420"/>
    </w:pPr>
  </w:style>
  <w:style w:type="table" w:styleId="a9">
    <w:name w:val="Table Grid"/>
    <w:basedOn w:val="a1"/>
    <w:uiPriority w:val="59"/>
    <w:unhideWhenUsed/>
    <w:rsid w:val="00880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223</Words>
  <Characters>1273</Characters>
  <Application>Microsoft Office Word</Application>
  <DocSecurity>0</DocSecurity>
  <Lines>10</Lines>
  <Paragraphs>2</Paragraphs>
  <ScaleCrop>false</ScaleCrop>
  <Company>福州市建筑设计院</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福兴经济开发区提升改造项目C1地块</dc:title>
  <dc:subject/>
  <dc:creator>设备用户</dc:creator>
  <cp:keywords/>
  <dc:description/>
  <cp:lastModifiedBy>Administrator</cp:lastModifiedBy>
  <cp:revision>82</cp:revision>
  <dcterms:created xsi:type="dcterms:W3CDTF">2019-06-19T02:15:00Z</dcterms:created>
  <dcterms:modified xsi:type="dcterms:W3CDTF">2020-07-23T11:47:00Z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