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tabs>
          <w:tab w:val="left" w:pos="709"/>
        </w:tabs>
        <w:spacing w:line="520" w:lineRule="exact"/>
        <w:rPr>
          <w:rFonts w:ascii="黑体" w:hAnsi="黑体" w:eastAsia="黑体"/>
          <w:bCs/>
          <w:sz w:val="32"/>
          <w:szCs w:val="28"/>
        </w:rPr>
      </w:pPr>
      <w:r>
        <w:rPr>
          <w:rFonts w:ascii="黑体" w:hAnsi="黑体" w:eastAsia="黑体"/>
          <w:sz w:val="32"/>
          <w:szCs w:val="32"/>
        </w:rPr>
        <w:t>附件2</w:t>
      </w:r>
    </w:p>
    <w:p>
      <w:pPr>
        <w:spacing w:line="540" w:lineRule="exact"/>
        <w:jc w:val="center"/>
        <w:rPr>
          <w:rFonts w:ascii="Times New Roman" w:hAnsi="Times New Roman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Times New Roman" w:hAnsi="Times New Roman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Times New Roman" w:hAnsi="Times New Roman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ascii="Times New Roman" w:hAnsi="Times New Roman" w:eastAsia="仿宋_GB2312"/>
          <w:b/>
          <w:sz w:val="32"/>
        </w:rPr>
      </w:pPr>
    </w:p>
    <w:p>
      <w:pPr>
        <w:spacing w:line="420" w:lineRule="exact"/>
        <w:jc w:val="center"/>
        <w:rPr>
          <w:rFonts w:ascii="Times New Roman" w:hAnsi="Times New Roman" w:eastAsia="仿宋_GB2312"/>
          <w:b/>
          <w:sz w:val="32"/>
        </w:rPr>
      </w:pPr>
    </w:p>
    <w:p>
      <w:pPr>
        <w:spacing w:line="420" w:lineRule="exact"/>
        <w:jc w:val="center"/>
        <w:rPr>
          <w:rFonts w:ascii="Times New Roman" w:hAnsi="Times New Roman" w:eastAsia="仿宋_GB2312"/>
          <w:b/>
          <w:sz w:val="32"/>
        </w:rPr>
      </w:pPr>
    </w:p>
    <w:p>
      <w:pPr>
        <w:spacing w:line="420" w:lineRule="exact"/>
        <w:jc w:val="center"/>
        <w:rPr>
          <w:rFonts w:ascii="Times New Roman" w:hAnsi="Times New Roman" w:eastAsia="仿宋_GB2312"/>
          <w:b/>
          <w:sz w:val="32"/>
        </w:rPr>
      </w:pPr>
    </w:p>
    <w:p>
      <w:pPr>
        <w:spacing w:line="420" w:lineRule="exact"/>
        <w:jc w:val="center"/>
        <w:rPr>
          <w:rFonts w:ascii="Times New Roman" w:hAnsi="Times New Roman" w:eastAsia="仿宋_GB2312"/>
          <w:b/>
          <w:sz w:val="32"/>
        </w:rPr>
      </w:pP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ascii="Times New Roman" w:hAnsi="Times New Roman"/>
          <w:b/>
          <w:sz w:val="32"/>
          <w:u w:val="single"/>
        </w:rPr>
      </w:pPr>
      <w:r>
        <w:rPr>
          <w:rFonts w:ascii="Times New Roman"/>
          <w:b/>
          <w:sz w:val="32"/>
        </w:rPr>
        <w:t>报建编号</w:t>
      </w:r>
      <w:r>
        <w:rPr>
          <w:rFonts w:ascii="Times New Roman" w:hAnsi="Times New Roman" w:eastAsia="Times New Roman"/>
          <w:b/>
          <w:sz w:val="32"/>
          <w:u w:val="single"/>
        </w:rPr>
        <w:t xml:space="preserve">   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400" w:firstLineChars="500"/>
        <w:rPr>
          <w:rFonts w:ascii="宋体" w:hAnsi="宋体" w:eastAsia="宋体"/>
          <w:sz w:val="28"/>
          <w:szCs w:val="28"/>
          <w:u w:val="single" w:color="000000"/>
        </w:rPr>
      </w:pP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ascii="宋体" w:hAnsi="宋体" w:eastAsia="宋体" w:cs="宋体"/>
          <w:b/>
          <w:bCs/>
          <w:sz w:val="32"/>
          <w:u w:val="single"/>
        </w:rPr>
      </w:pPr>
      <w:r>
        <w:rPr>
          <w:rFonts w:ascii="Times New Roman" w:hAnsi="宋体"/>
          <w:b/>
          <w:sz w:val="32"/>
        </w:rPr>
        <w:t>项目名称</w:t>
      </w:r>
      <w:r>
        <w:rPr>
          <w:rFonts w:ascii="Times New Roman" w:hAnsi="Times New Roman" w:eastAsia="Times New Roman"/>
          <w:b/>
          <w:sz w:val="32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u w:val="single"/>
        </w:rPr>
        <w:t>滨海未来城（一期）十三、十四地块</w:t>
      </w:r>
      <w:r>
        <w:rPr>
          <w:rFonts w:hint="eastAsia" w:ascii="宋体" w:hAnsi="宋体" w:eastAsia="宋体"/>
          <w:b/>
          <w:bCs/>
          <w:sz w:val="32"/>
          <w:u w:val="single"/>
        </w:rPr>
        <w:t>1</w:t>
      </w:r>
      <w:r>
        <w:rPr>
          <w:rFonts w:ascii="宋体" w:hAnsi="宋体" w:eastAsia="宋体"/>
          <w:b/>
          <w:bCs/>
          <w:sz w:val="32"/>
          <w:u w:val="single"/>
        </w:rPr>
        <w:t>#</w:t>
      </w:r>
      <w:r>
        <w:rPr>
          <w:rFonts w:hint="eastAsia" w:ascii="宋体" w:hAnsi="宋体" w:eastAsia="宋体" w:cs="宋体"/>
          <w:b/>
          <w:bCs/>
          <w:sz w:val="32"/>
          <w:u w:val="single"/>
        </w:rPr>
        <w:t>楼、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ascii="宋体" w:hAnsi="宋体" w:eastAsia="宋体"/>
          <w:b/>
          <w:bCs/>
          <w:sz w:val="32"/>
          <w:u w:val="single"/>
        </w:rPr>
      </w:pPr>
      <w:r>
        <w:rPr>
          <w:rFonts w:ascii="宋体" w:hAnsi="宋体" w:eastAsia="宋体"/>
          <w:b/>
          <w:bCs/>
          <w:sz w:val="32"/>
          <w:u w:val="single"/>
        </w:rPr>
        <w:t xml:space="preserve">  2#</w:t>
      </w:r>
      <w:r>
        <w:rPr>
          <w:rFonts w:hint="eastAsia" w:ascii="宋体" w:hAnsi="宋体" w:eastAsia="宋体" w:cs="宋体"/>
          <w:b/>
          <w:bCs/>
          <w:sz w:val="32"/>
          <w:u w:val="single"/>
        </w:rPr>
        <w:t>楼</w:t>
      </w:r>
      <w:r>
        <w:rPr>
          <w:rFonts w:hint="eastAsia" w:ascii="宋体" w:hAnsi="宋体" w:eastAsia="宋体"/>
          <w:b/>
          <w:bCs/>
          <w:sz w:val="32"/>
          <w:u w:val="single"/>
        </w:rPr>
        <w:t>、</w:t>
      </w:r>
      <w:r>
        <w:rPr>
          <w:rFonts w:ascii="宋体" w:hAnsi="宋体" w:eastAsia="宋体"/>
          <w:b/>
          <w:bCs/>
          <w:sz w:val="32"/>
          <w:u w:val="single"/>
        </w:rPr>
        <w:t>3#</w:t>
      </w:r>
      <w:r>
        <w:rPr>
          <w:rFonts w:hint="eastAsia" w:ascii="宋体" w:hAnsi="宋体" w:eastAsia="宋体"/>
          <w:b/>
          <w:bCs/>
          <w:sz w:val="32"/>
          <w:u w:val="single"/>
        </w:rPr>
        <w:t>楼、</w:t>
      </w:r>
      <w:r>
        <w:rPr>
          <w:rFonts w:ascii="宋体" w:hAnsi="宋体" w:eastAsia="宋体"/>
          <w:b/>
          <w:bCs/>
          <w:sz w:val="32"/>
          <w:u w:val="single"/>
        </w:rPr>
        <w:t>7#</w:t>
      </w:r>
      <w:r>
        <w:rPr>
          <w:rFonts w:hint="eastAsia" w:ascii="宋体" w:hAnsi="宋体" w:eastAsia="宋体" w:cs="宋体"/>
          <w:b/>
          <w:bCs/>
          <w:sz w:val="32"/>
          <w:u w:val="single"/>
        </w:rPr>
        <w:t>楼、</w:t>
      </w:r>
      <w:r>
        <w:rPr>
          <w:rFonts w:hint="eastAsia" w:ascii="宋体" w:hAnsi="宋体" w:eastAsia="宋体"/>
          <w:b/>
          <w:bCs/>
          <w:sz w:val="32"/>
          <w:u w:val="single"/>
        </w:rPr>
        <w:t>9</w:t>
      </w:r>
      <w:r>
        <w:rPr>
          <w:rFonts w:ascii="宋体" w:hAnsi="宋体" w:eastAsia="宋体"/>
          <w:b/>
          <w:bCs/>
          <w:sz w:val="32"/>
          <w:u w:val="single"/>
        </w:rPr>
        <w:t>#</w:t>
      </w:r>
      <w:r>
        <w:rPr>
          <w:rFonts w:hint="eastAsia" w:ascii="宋体" w:hAnsi="宋体" w:eastAsia="宋体" w:cs="宋体"/>
          <w:b/>
          <w:bCs/>
          <w:sz w:val="32"/>
          <w:u w:val="single"/>
        </w:rPr>
        <w:t>楼、</w:t>
      </w:r>
      <w:r>
        <w:rPr>
          <w:rFonts w:hint="eastAsia" w:ascii="宋体" w:hAnsi="宋体" w:eastAsia="宋体"/>
          <w:b/>
          <w:bCs/>
          <w:sz w:val="32"/>
          <w:u w:val="single"/>
        </w:rPr>
        <w:t>1</w:t>
      </w:r>
      <w:r>
        <w:rPr>
          <w:rFonts w:ascii="宋体" w:hAnsi="宋体" w:eastAsia="宋体"/>
          <w:b/>
          <w:bCs/>
          <w:sz w:val="32"/>
          <w:u w:val="single"/>
        </w:rPr>
        <w:t>6#</w:t>
      </w:r>
      <w:r>
        <w:rPr>
          <w:rFonts w:hint="eastAsia" w:ascii="宋体" w:hAnsi="宋体" w:eastAsia="宋体" w:cs="宋体"/>
          <w:b/>
          <w:bCs/>
          <w:sz w:val="32"/>
          <w:u w:val="single"/>
        </w:rPr>
        <w:t>楼、</w:t>
      </w:r>
      <w:r>
        <w:rPr>
          <w:rFonts w:hint="eastAsia" w:ascii="宋体" w:hAnsi="宋体" w:eastAsia="宋体"/>
          <w:b/>
          <w:bCs/>
          <w:sz w:val="32"/>
          <w:u w:val="single"/>
        </w:rPr>
        <w:t>1</w:t>
      </w:r>
      <w:r>
        <w:rPr>
          <w:rFonts w:ascii="宋体" w:hAnsi="宋体" w:eastAsia="宋体"/>
          <w:b/>
          <w:bCs/>
          <w:sz w:val="32"/>
          <w:u w:val="single"/>
        </w:rPr>
        <w:t>8#</w:t>
      </w:r>
      <w:r>
        <w:rPr>
          <w:rFonts w:hint="eastAsia" w:ascii="宋体" w:hAnsi="宋体" w:eastAsia="宋体" w:cs="宋体"/>
          <w:b/>
          <w:bCs/>
          <w:sz w:val="32"/>
          <w:u w:val="single"/>
        </w:rPr>
        <w:t>楼、</w:t>
      </w:r>
      <w:r>
        <w:rPr>
          <w:rFonts w:hint="eastAsia" w:ascii="宋体" w:hAnsi="宋体" w:eastAsia="宋体"/>
          <w:b/>
          <w:bCs/>
          <w:sz w:val="32"/>
          <w:u w:val="single"/>
        </w:rPr>
        <w:t>1</w:t>
      </w:r>
      <w:r>
        <w:rPr>
          <w:rFonts w:ascii="宋体" w:hAnsi="宋体" w:eastAsia="宋体"/>
          <w:b/>
          <w:bCs/>
          <w:sz w:val="32"/>
          <w:u w:val="single"/>
        </w:rPr>
        <w:t>9#</w:t>
      </w:r>
      <w:r>
        <w:rPr>
          <w:rFonts w:hint="eastAsia" w:ascii="宋体" w:hAnsi="宋体" w:eastAsia="宋体" w:cs="宋体"/>
          <w:b/>
          <w:bCs/>
          <w:sz w:val="32"/>
          <w:u w:val="single"/>
        </w:rPr>
        <w:t>楼</w:t>
      </w:r>
      <w:r>
        <w:rPr>
          <w:rFonts w:ascii="宋体" w:hAnsi="宋体" w:eastAsia="宋体"/>
          <w:b/>
          <w:bCs/>
          <w:sz w:val="32"/>
          <w:u w:val="single"/>
        </w:rPr>
        <w:t xml:space="preserve">  </w:t>
      </w:r>
      <w:r>
        <w:rPr>
          <w:rFonts w:ascii="Times New Roman" w:hAnsi="Times New Roman" w:eastAsia="Times New Roman"/>
          <w:b/>
          <w:bCs/>
          <w:sz w:val="32"/>
          <w:u w:val="single"/>
        </w:rPr>
        <w:t xml:space="preserve">   </w:t>
      </w:r>
      <w:r>
        <w:rPr>
          <w:rFonts w:ascii="Times New Roman" w:hAnsi="Times New Roman" w:eastAsiaTheme="minorEastAsia"/>
          <w:b/>
          <w:sz w:val="32"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rPr>
          <w:rFonts w:ascii="Times New Roman" w:hAnsi="Times New Roman"/>
          <w:b/>
          <w:sz w:val="32"/>
        </w:rPr>
      </w:pP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ascii="Times New Roman" w:hAnsi="宋体"/>
          <w:b/>
          <w:sz w:val="32"/>
        </w:rPr>
      </w:pPr>
      <w:r>
        <w:rPr>
          <w:rFonts w:ascii="Times New Roman" w:hAnsi="宋体"/>
          <w:b/>
          <w:sz w:val="32"/>
        </w:rPr>
        <w:t>申报单位</w:t>
      </w:r>
      <w:r>
        <w:rPr>
          <w:rFonts w:ascii="Times New Roman" w:hAnsi="Times New Roman" w:eastAsia="Times New Roman"/>
          <w:b/>
          <w:bCs/>
          <w:sz w:val="32"/>
          <w:u w:val="single"/>
        </w:rPr>
        <w:t xml:space="preserve">   </w:t>
      </w:r>
      <w:r>
        <w:rPr>
          <w:rFonts w:ascii="宋体" w:hAnsi="宋体" w:eastAsia="宋体"/>
          <w:b/>
          <w:bCs/>
          <w:sz w:val="32"/>
          <w:szCs w:val="32"/>
          <w:u w:val="single" w:color="000000"/>
        </w:rPr>
        <w:t>福州</w:t>
      </w:r>
      <w:r>
        <w:rPr>
          <w:rFonts w:hint="eastAsia" w:ascii="宋体" w:hAnsi="宋体" w:eastAsia="宋体"/>
          <w:b/>
          <w:bCs/>
          <w:sz w:val="32"/>
          <w:szCs w:val="32"/>
          <w:u w:val="single" w:color="000000"/>
        </w:rPr>
        <w:t>滨茂</w:t>
      </w:r>
      <w:r>
        <w:rPr>
          <w:rFonts w:ascii="宋体" w:hAnsi="宋体" w:eastAsia="宋体"/>
          <w:b/>
          <w:bCs/>
          <w:sz w:val="32"/>
          <w:szCs w:val="32"/>
          <w:u w:val="single" w:color="000000"/>
        </w:rPr>
        <w:t>房地产有限公司</w:t>
      </w:r>
      <w:r>
        <w:rPr>
          <w:rFonts w:hint="eastAsia" w:ascii="宋体" w:hAnsi="宋体" w:eastAsia="宋体"/>
          <w:b/>
          <w:bCs/>
          <w:sz w:val="28"/>
          <w:szCs w:val="28"/>
          <w:u w:val="single" w:color="000000"/>
        </w:rPr>
        <w:t xml:space="preserve"> </w:t>
      </w:r>
      <w:r>
        <w:rPr>
          <w:rFonts w:ascii="Times New Roman" w:hAnsi="Times New Roman" w:eastAsia="Times New Roman"/>
          <w:b/>
          <w:bCs/>
          <w:sz w:val="32"/>
          <w:u w:val="single"/>
        </w:rPr>
        <w:t xml:space="preserve"> </w:t>
      </w:r>
      <w:r>
        <w:rPr>
          <w:rFonts w:ascii="Times New Roman" w:hAnsi="宋体"/>
          <w:b/>
          <w:sz w:val="32"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ascii="Times New Roman" w:hAnsi="Times New Roman" w:eastAsia="Times New Roman"/>
          <w:b/>
          <w:sz w:val="32"/>
        </w:rPr>
      </w:pP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ascii="Times New Roman" w:hAnsi="Times New Roman"/>
          <w:b/>
          <w:sz w:val="32"/>
          <w:u w:val="single"/>
        </w:rPr>
      </w:pPr>
      <w:r>
        <w:rPr>
          <w:rFonts w:ascii="Times New Roman" w:hAnsi="宋体"/>
          <w:b/>
          <w:sz w:val="32"/>
        </w:rPr>
        <w:t>主管部门</w:t>
      </w:r>
      <w:r>
        <w:rPr>
          <w:rFonts w:ascii="Times New Roman" w:hAnsi="Times New Roman" w:eastAsia="Times New Roman"/>
          <w:b/>
          <w:sz w:val="32"/>
          <w:u w:val="single"/>
        </w:rPr>
        <w:t xml:space="preserve">      </w:t>
      </w:r>
      <w:r>
        <w:rPr>
          <w:rFonts w:hint="eastAsia" w:ascii="宋体" w:hAnsi="宋体" w:eastAsia="宋体" w:cs="宋体"/>
          <w:b/>
          <w:sz w:val="32"/>
          <w:u w:val="single"/>
        </w:rPr>
        <w:t xml:space="preserve">福州市城乡建设局 </w:t>
      </w:r>
      <w:r>
        <w:rPr>
          <w:rFonts w:ascii="宋体" w:hAnsi="宋体" w:eastAsia="宋体" w:cs="宋体"/>
          <w:b/>
          <w:sz w:val="32"/>
          <w:u w:val="single"/>
        </w:rPr>
        <w:t xml:space="preserve">  </w:t>
      </w:r>
      <w:r>
        <w:rPr>
          <w:rFonts w:ascii="Times New Roman" w:hAnsi="Times New Roman" w:eastAsia="Times New Roman"/>
          <w:b/>
          <w:sz w:val="32"/>
          <w:u w:val="single"/>
        </w:rPr>
        <w:t xml:space="preserve">    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ascii="Times New Roman" w:hAnsi="Times New Roman"/>
          <w:b/>
          <w:sz w:val="32"/>
        </w:rPr>
      </w:pP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ascii="Times New Roman" w:hAnsi="Times New Roman" w:eastAsia="Times New Roman"/>
          <w:b/>
          <w:sz w:val="32"/>
        </w:rPr>
      </w:pPr>
      <w:r>
        <w:rPr>
          <w:rFonts w:ascii="Times New Roman" w:hAnsi="宋体"/>
          <w:b/>
          <w:sz w:val="32"/>
        </w:rPr>
        <w:t>申报时间</w:t>
      </w:r>
      <w:r>
        <w:rPr>
          <w:rFonts w:ascii="Times New Roman" w:hAnsi="Times New Roman" w:eastAsia="Times New Roman"/>
          <w:b/>
          <w:sz w:val="32"/>
          <w:u w:val="single"/>
        </w:rPr>
        <w:t xml:space="preserve">  2020    </w:t>
      </w:r>
      <w:r>
        <w:rPr>
          <w:rFonts w:ascii="Times New Roman" w:hAnsi="宋体"/>
          <w:b/>
          <w:sz w:val="32"/>
        </w:rPr>
        <w:t>年</w:t>
      </w:r>
      <w:r>
        <w:rPr>
          <w:rFonts w:ascii="Times New Roman" w:hAnsi="Times New Roman" w:eastAsia="Times New Roman"/>
          <w:b/>
          <w:sz w:val="32"/>
          <w:u w:val="single"/>
        </w:rPr>
        <w:t xml:space="preserve">   8   </w:t>
      </w:r>
      <w:r>
        <w:rPr>
          <w:rFonts w:ascii="Times New Roman" w:hAnsi="宋体"/>
          <w:b/>
          <w:sz w:val="32"/>
        </w:rPr>
        <w:t>月</w:t>
      </w:r>
      <w:r>
        <w:rPr>
          <w:rFonts w:ascii="Times New Roman" w:hAnsi="Times New Roman" w:eastAsia="Times New Roman"/>
          <w:b/>
          <w:sz w:val="32"/>
          <w:u w:val="single"/>
        </w:rPr>
        <w:t xml:space="preserve">    1   </w:t>
      </w:r>
      <w:r>
        <w:rPr>
          <w:rFonts w:ascii="Times New Roman" w:hAnsi="宋体"/>
          <w:b/>
          <w:sz w:val="32"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ascii="Times New Roman" w:hAnsi="Times New Roman" w:eastAsia="Times New Roman"/>
          <w:b/>
          <w:sz w:val="32"/>
        </w:rPr>
      </w:pPr>
    </w:p>
    <w:p>
      <w:pPr>
        <w:tabs>
          <w:tab w:val="left" w:pos="6580"/>
          <w:tab w:val="left" w:pos="6780"/>
        </w:tabs>
        <w:rPr>
          <w:rFonts w:ascii="Times New Roman" w:hAnsi="Times New Roman" w:eastAsia="Times New Roman"/>
          <w:b/>
          <w:sz w:val="32"/>
        </w:rPr>
      </w:pPr>
    </w:p>
    <w:p>
      <w:pPr>
        <w:tabs>
          <w:tab w:val="left" w:pos="6580"/>
          <w:tab w:val="left" w:pos="6780"/>
        </w:tabs>
        <w:rPr>
          <w:rFonts w:ascii="Times New Roman" w:hAnsi="Times New Roman" w:eastAsia="Times New Roman"/>
          <w:b/>
          <w:sz w:val="32"/>
        </w:rPr>
      </w:pPr>
    </w:p>
    <w:p>
      <w:pPr>
        <w:spacing w:line="440" w:lineRule="atLeast"/>
        <w:jc w:val="center"/>
        <w:rPr>
          <w:rFonts w:ascii="方正小标宋简体" w:hAnsi="Times New Roman" w:eastAsia="方正小标宋简体"/>
          <w:bCs/>
          <w:sz w:val="44"/>
        </w:rPr>
      </w:pPr>
      <w:r>
        <w:rPr>
          <w:rFonts w:ascii="Times New Roman" w:hAnsi="Times New Roman" w:eastAsia="Times New Roman"/>
          <w:bCs/>
          <w:sz w:val="44"/>
        </w:rPr>
        <w:br w:type="page"/>
      </w:r>
      <w:r>
        <w:rPr>
          <w:rFonts w:hint="eastAsia" w:ascii="方正小标宋简体" w:hAnsi="黑体" w:eastAsia="方正小标宋简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Times New Roman" w:hAnsi="Times New Roman" w:eastAsia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仿宋_GB2312" w:eastAsia="仿宋_GB2312"/>
          <w:sz w:val="32"/>
          <w:szCs w:val="32"/>
        </w:rPr>
        <w:t>．</w:t>
      </w:r>
      <w:r>
        <w:rPr>
          <w:rFonts w:ascii="Times New Roman" w:hAnsi="仿宋_GB2312" w:eastAsia="仿宋_GB2312"/>
          <w:sz w:val="32"/>
          <w:szCs w:val="32"/>
        </w:rPr>
        <w:t>申报表一律采用小四号仿宋字体填写，以</w:t>
      </w:r>
      <w:r>
        <w:rPr>
          <w:rFonts w:ascii="Times New Roman" w:hAnsi="Times New Roman" w:eastAsia="仿宋_GB2312"/>
          <w:sz w:val="32"/>
          <w:szCs w:val="32"/>
        </w:rPr>
        <w:t>A4</w:t>
      </w:r>
      <w:r>
        <w:rPr>
          <w:rFonts w:ascii="Times New Roman" w:hAnsi="仿宋_GB2312" w:eastAsia="仿宋_GB2312"/>
          <w:sz w:val="32"/>
          <w:szCs w:val="32"/>
        </w:rPr>
        <w:t>纸打印，一式</w:t>
      </w:r>
      <w:r>
        <w:rPr>
          <w:rFonts w:hint="eastAsia" w:ascii="Times New Roman" w:hAnsi="仿宋_GB2312" w:eastAsia="仿宋_GB2312"/>
          <w:sz w:val="32"/>
          <w:szCs w:val="32"/>
        </w:rPr>
        <w:t>六</w:t>
      </w:r>
      <w:r>
        <w:rPr>
          <w:rFonts w:ascii="Times New Roman" w:hAnsi="仿宋_GB2312" w:eastAsia="仿宋_GB2312"/>
          <w:sz w:val="32"/>
          <w:szCs w:val="32"/>
        </w:rPr>
        <w:t>份。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仿宋_GB2312" w:eastAsia="仿宋_GB2312"/>
          <w:sz w:val="32"/>
          <w:szCs w:val="32"/>
        </w:rPr>
        <w:t>．</w:t>
      </w:r>
      <w:r>
        <w:rPr>
          <w:rFonts w:ascii="Times New Roman" w:hAnsi="仿宋_GB2312" w:eastAsia="仿宋_GB2312"/>
          <w:sz w:val="32"/>
          <w:szCs w:val="32"/>
        </w:rPr>
        <w:t>申报表封面的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Times New Roman" w:hAnsi="仿宋_GB2312" w:eastAsia="仿宋_GB2312"/>
          <w:sz w:val="32"/>
          <w:szCs w:val="32"/>
        </w:rPr>
        <w:t>项目名称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Times New Roman" w:hAnsi="仿宋_GB2312" w:eastAsia="仿宋_GB2312"/>
          <w:sz w:val="32"/>
          <w:szCs w:val="32"/>
        </w:rPr>
        <w:t>与施工许可证的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Times New Roman" w:hAnsi="仿宋_GB2312" w:eastAsia="仿宋_GB2312"/>
          <w:sz w:val="32"/>
          <w:szCs w:val="32"/>
        </w:rPr>
        <w:t>工程名称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Times New Roman" w:hAnsi="仿宋_GB2312" w:eastAsia="仿宋_GB2312"/>
          <w:sz w:val="32"/>
          <w:szCs w:val="32"/>
        </w:rPr>
        <w:t>应一致。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．</w:t>
      </w:r>
      <w:r>
        <w:rPr>
          <w:rFonts w:ascii="Times New Roman" w:hAnsi="仿宋_GB2312" w:eastAsia="仿宋_GB2312"/>
          <w:sz w:val="32"/>
          <w:szCs w:val="32"/>
        </w:rPr>
        <w:t>项目涉及的设计、施工、监理、部品部件生产单位暂未确定的填写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Times New Roman" w:hAnsi="仿宋_GB2312" w:eastAsia="仿宋_GB2312"/>
          <w:sz w:val="32"/>
          <w:szCs w:val="32"/>
        </w:rPr>
        <w:t>未确定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Times New Roman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</w:rPr>
      </w:pPr>
    </w:p>
    <w:p>
      <w:pPr>
        <w:spacing w:line="240" w:lineRule="atLeast"/>
        <w:rPr>
          <w:rFonts w:ascii="Times New Roman" w:hAnsi="Times New Roman" w:eastAsia="仿宋_GB2312"/>
          <w:sz w:val="30"/>
        </w:rPr>
      </w:pPr>
      <w:r>
        <w:rPr>
          <w:rFonts w:ascii="Times New Roman" w:hAnsi="Times New Roman" w:eastAsia="仿宋_GB2312"/>
          <w:sz w:val="30"/>
        </w:rPr>
        <w:br w:type="page"/>
      </w:r>
    </w:p>
    <w:tbl>
      <w:tblPr>
        <w:tblStyle w:val="9"/>
        <w:tblW w:w="9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9"/>
        <w:gridCol w:w="1095"/>
        <w:gridCol w:w="799"/>
        <w:gridCol w:w="401"/>
        <w:gridCol w:w="425"/>
        <w:gridCol w:w="426"/>
        <w:gridCol w:w="524"/>
        <w:gridCol w:w="326"/>
        <w:gridCol w:w="426"/>
        <w:gridCol w:w="288"/>
        <w:gridCol w:w="735"/>
        <w:gridCol w:w="168"/>
        <w:gridCol w:w="904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667" w:type="dxa"/>
            <w:gridSpan w:val="15"/>
            <w:vAlign w:val="center"/>
          </w:tcPr>
          <w:p>
            <w:pPr>
              <w:spacing w:line="360" w:lineRule="exact"/>
              <w:rPr>
                <w:rFonts w:ascii="黑体" w:hAnsi="黑体" w:eastAsia="黑体"/>
                <w:sz w:val="30"/>
              </w:rPr>
            </w:pPr>
            <w:r>
              <w:rPr>
                <w:rFonts w:ascii="黑体" w:hAnsi="黑体" w:eastAsia="黑体"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建筑类型</w:t>
            </w:r>
          </w:p>
        </w:tc>
        <w:tc>
          <w:tcPr>
            <w:tcW w:w="7431" w:type="dxa"/>
            <w:gridSpan w:val="13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Segoe UI Symbol" w:hAnsi="Segoe UI Symbol" w:eastAsia="宋体" w:cs="Segoe UI Symbol"/>
                <w:sz w:val="24"/>
              </w:rPr>
              <w:t>☑</w:t>
            </w:r>
            <w:r>
              <w:rPr>
                <w:rFonts w:ascii="Times New Roman" w:hAnsi="Times New Roman" w:eastAsia="仿宋_GB2312"/>
                <w:sz w:val="24"/>
              </w:rPr>
              <w:t xml:space="preserve">居住建筑    </w:t>
            </w:r>
            <w:r>
              <w:rPr>
                <w:rFonts w:hint="eastAsia" w:ascii="仿宋_GB2312" w:hAnsi="Times New Roman" w:eastAsia="仿宋_GB2312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公共建筑    </w:t>
            </w:r>
            <w:r>
              <w:rPr>
                <w:rFonts w:hint="eastAsia" w:ascii="仿宋_GB2312" w:hAnsi="Times New Roman" w:eastAsia="仿宋_GB2312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其他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/>
                <w:sz w:val="24"/>
              </w:rPr>
              <w:t>（选项打☑，下同）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评价依据</w:t>
            </w:r>
          </w:p>
        </w:tc>
        <w:tc>
          <w:tcPr>
            <w:tcW w:w="7431" w:type="dxa"/>
            <w:gridSpan w:val="13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Segoe UI Symbol" w:hAnsi="Segoe UI Symbol" w:eastAsia="宋体" w:cs="Segoe UI Symbol"/>
                <w:sz w:val="24"/>
              </w:rPr>
              <w:t>☑</w:t>
            </w:r>
            <w:r>
              <w:rPr>
                <w:rFonts w:ascii="Times New Roman" w:hAnsi="Times New Roman" w:eastAsia="仿宋_GB2312"/>
                <w:sz w:val="24"/>
              </w:rPr>
              <w:t>福建省装配式建筑装配率计算细则</w:t>
            </w:r>
          </w:p>
          <w:p>
            <w:pPr>
              <w:spacing w:line="360" w:lineRule="exact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《装配式建筑评价标准》（GB/T 51129-2017）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申请评价阶段</w:t>
            </w:r>
          </w:p>
        </w:tc>
        <w:tc>
          <w:tcPr>
            <w:tcW w:w="7431" w:type="dxa"/>
            <w:gridSpan w:val="13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Segoe UI Symbol" w:hAnsi="Segoe UI Symbol" w:eastAsia="宋体" w:cs="Segoe UI Symbol"/>
                <w:sz w:val="24"/>
              </w:rPr>
              <w:t>☑</w:t>
            </w:r>
            <w:r>
              <w:rPr>
                <w:rFonts w:ascii="Times New Roman" w:hAnsi="Times New Roman" w:eastAsia="仿宋_GB2312"/>
                <w:sz w:val="24"/>
              </w:rPr>
              <w:t xml:space="preserve">设计阶段评价            </w:t>
            </w:r>
            <w:r>
              <w:rPr>
                <w:rFonts w:hint="eastAsia" w:ascii="仿宋_GB2312" w:hAnsi="Times New Roman" w:eastAsia="仿宋_GB2312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项目名称</w:t>
            </w:r>
          </w:p>
        </w:tc>
        <w:tc>
          <w:tcPr>
            <w:tcW w:w="7431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滨海未来城（一期）十三、十四地块1#楼、</w:t>
            </w:r>
            <w:r>
              <w:rPr>
                <w:rFonts w:ascii="宋体" w:hAnsi="宋体" w:eastAsia="宋体"/>
                <w:sz w:val="24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>#楼、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#楼、</w:t>
            </w:r>
            <w:r>
              <w:rPr>
                <w:rFonts w:ascii="宋体" w:hAnsi="宋体" w:eastAsia="宋体"/>
                <w:sz w:val="24"/>
              </w:rPr>
              <w:t>7</w:t>
            </w:r>
            <w:r>
              <w:rPr>
                <w:rFonts w:hint="eastAsia" w:ascii="宋体" w:hAnsi="宋体" w:eastAsia="宋体"/>
                <w:sz w:val="24"/>
              </w:rPr>
              <w:t>#楼、</w:t>
            </w:r>
            <w:r>
              <w:rPr>
                <w:rFonts w:ascii="宋体" w:hAnsi="宋体" w:eastAsia="宋体"/>
                <w:sz w:val="24"/>
              </w:rPr>
              <w:t>9</w:t>
            </w:r>
            <w:r>
              <w:rPr>
                <w:rFonts w:hint="eastAsia" w:ascii="宋体" w:hAnsi="宋体" w:eastAsia="宋体"/>
                <w:sz w:val="24"/>
              </w:rPr>
              <w:t>#楼、</w:t>
            </w:r>
            <w:r>
              <w:rPr>
                <w:rFonts w:ascii="宋体" w:hAnsi="宋体" w:eastAsia="宋体"/>
                <w:sz w:val="24"/>
              </w:rPr>
              <w:t>16</w:t>
            </w:r>
            <w:r>
              <w:rPr>
                <w:rFonts w:hint="eastAsia" w:ascii="宋体" w:hAnsi="宋体" w:eastAsia="宋体"/>
                <w:sz w:val="24"/>
              </w:rPr>
              <w:t>#楼、</w:t>
            </w:r>
            <w:r>
              <w:rPr>
                <w:rFonts w:ascii="宋体" w:hAnsi="宋体" w:eastAsia="宋体"/>
                <w:sz w:val="24"/>
              </w:rPr>
              <w:t>18</w:t>
            </w:r>
            <w:r>
              <w:rPr>
                <w:rFonts w:hint="eastAsia" w:ascii="宋体" w:hAnsi="宋体" w:eastAsia="宋体"/>
                <w:sz w:val="24"/>
              </w:rPr>
              <w:t>#楼、</w:t>
            </w:r>
            <w:r>
              <w:rPr>
                <w:rFonts w:ascii="宋体" w:hAnsi="宋体" w:eastAsia="宋体"/>
                <w:sz w:val="24"/>
              </w:rPr>
              <w:t>19</w:t>
            </w:r>
            <w:r>
              <w:rPr>
                <w:rFonts w:hint="eastAsia" w:ascii="宋体" w:hAnsi="宋体" w:eastAsia="宋体"/>
                <w:sz w:val="24"/>
              </w:rPr>
              <w:t>#楼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项目所在地</w:t>
            </w:r>
          </w:p>
        </w:tc>
        <w:tc>
          <w:tcPr>
            <w:tcW w:w="7431" w:type="dxa"/>
            <w:gridSpan w:val="13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福州市</w:t>
            </w:r>
            <w:r>
              <w:rPr>
                <w:rFonts w:hint="eastAsia" w:ascii="宋体" w:hAnsi="宋体" w:eastAsia="宋体"/>
                <w:sz w:val="24"/>
              </w:rPr>
              <w:t>长乐滨海新区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1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实施装配式建造情况</w:t>
            </w:r>
          </w:p>
        </w:tc>
        <w:tc>
          <w:tcPr>
            <w:tcW w:w="141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装配式建筑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栋号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结构类型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建筑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面积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（m</w:t>
            </w:r>
            <w:r>
              <w:rPr>
                <w:rFonts w:ascii="Times New Roman" w:hAnsi="Times New Roman" w:eastAsia="仿宋_GB2312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）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主体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结构Q</w:t>
            </w:r>
            <w:r>
              <w:rPr>
                <w:rFonts w:ascii="Times New Roman" w:hAnsi="Times New Roman" w:eastAsia="仿宋_GB2312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得分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  <w:vertAlign w:val="subscript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围护墙和内隔墙Q</w:t>
            </w:r>
            <w:r>
              <w:rPr>
                <w:rFonts w:ascii="Times New Roman" w:hAnsi="Times New Roman" w:eastAsia="仿宋_GB2312"/>
                <w:sz w:val="18"/>
                <w:szCs w:val="18"/>
                <w:vertAlign w:val="subscript"/>
              </w:rPr>
              <w:t>2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得分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  <w:vertAlign w:val="subscript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装修与设备管线Q</w:t>
            </w:r>
            <w:r>
              <w:rPr>
                <w:rFonts w:ascii="Times New Roman" w:hAnsi="Times New Roman" w:eastAsia="仿宋_GB2312"/>
                <w:sz w:val="18"/>
                <w:szCs w:val="18"/>
                <w:vertAlign w:val="subscript"/>
              </w:rPr>
              <w:t>3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得分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技术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创新Q</w:t>
            </w:r>
            <w:r>
              <w:rPr>
                <w:rFonts w:ascii="Times New Roman" w:hAnsi="Times New Roman" w:eastAsia="仿宋_GB2312"/>
                <w:sz w:val="18"/>
                <w:szCs w:val="18"/>
                <w:vertAlign w:val="subscript"/>
              </w:rPr>
              <w:t>4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得分</w:t>
            </w:r>
          </w:p>
        </w:tc>
        <w:tc>
          <w:tcPr>
            <w:tcW w:w="90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单体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建筑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装配率（%）</w:t>
            </w:r>
          </w:p>
        </w:tc>
        <w:tc>
          <w:tcPr>
            <w:tcW w:w="91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z w:val="18"/>
                <w:szCs w:val="18"/>
              </w:rPr>
              <w:t>评价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1#</w:t>
            </w:r>
          </w:p>
        </w:tc>
        <w:tc>
          <w:tcPr>
            <w:tcW w:w="109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Segoe UI Symbol" w:hAnsi="Segoe UI Symbol" w:eastAsia="宋体" w:cs="Segoe UI Symbol"/>
                <w:sz w:val="24"/>
              </w:rPr>
              <w:t>☑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装配式混凝土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□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装配式钢结构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□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装配式木结构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□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装配式混合结构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7197.96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32.12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90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50</w:t>
            </w:r>
          </w:p>
        </w:tc>
        <w:tc>
          <w:tcPr>
            <w:tcW w:w="91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2#</w:t>
            </w:r>
          </w:p>
        </w:tc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Segoe UI Symbol" w:hAnsi="Segoe UI Symbol" w:eastAsia="宋体" w:cs="Segoe UI Symbol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11275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.</w:t>
            </w:r>
            <w:r>
              <w:rPr>
                <w:rFonts w:ascii="仿宋" w:hAnsi="仿宋" w:eastAsia="仿宋"/>
                <w:sz w:val="24"/>
                <w:szCs w:val="24"/>
              </w:rPr>
              <w:t>81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32.21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90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50</w:t>
            </w:r>
          </w:p>
        </w:tc>
        <w:tc>
          <w:tcPr>
            <w:tcW w:w="91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3#</w:t>
            </w:r>
          </w:p>
        </w:tc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Segoe UI Symbol" w:hAnsi="Segoe UI Symbol" w:eastAsia="宋体" w:cs="Segoe UI Symbol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6774.49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32.11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90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50</w:t>
            </w:r>
          </w:p>
        </w:tc>
        <w:tc>
          <w:tcPr>
            <w:tcW w:w="91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7#</w:t>
            </w:r>
          </w:p>
        </w:tc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Segoe UI Symbol" w:hAnsi="Segoe UI Symbol" w:eastAsia="宋体" w:cs="Segoe UI Symbol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6371.95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32.31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90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50</w:t>
            </w:r>
          </w:p>
        </w:tc>
        <w:tc>
          <w:tcPr>
            <w:tcW w:w="91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9#</w:t>
            </w:r>
          </w:p>
        </w:tc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15855.45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32.26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90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50</w:t>
            </w:r>
          </w:p>
        </w:tc>
        <w:tc>
          <w:tcPr>
            <w:tcW w:w="91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16#</w:t>
            </w:r>
          </w:p>
        </w:tc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10112.91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32.64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90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51</w:t>
            </w:r>
          </w:p>
        </w:tc>
        <w:tc>
          <w:tcPr>
            <w:tcW w:w="91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18#</w:t>
            </w:r>
          </w:p>
        </w:tc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7290.01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32.59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90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51</w:t>
            </w:r>
          </w:p>
        </w:tc>
        <w:tc>
          <w:tcPr>
            <w:tcW w:w="91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19#</w:t>
            </w:r>
          </w:p>
        </w:tc>
        <w:tc>
          <w:tcPr>
            <w:tcW w:w="109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15411.42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32.22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90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50</w:t>
            </w:r>
          </w:p>
        </w:tc>
        <w:tc>
          <w:tcPr>
            <w:tcW w:w="91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>建设单位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福州滨茂房地产有限公司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传真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Times New Roman" w:hAnsi="Times New Roman" w:eastAsia="仿宋_GB2312"/>
                <w:sz w:val="30"/>
              </w:rPr>
              <w:t>-</w:t>
            </w:r>
            <w:r>
              <w:rPr>
                <w:rFonts w:ascii="Times New Roman" w:hAnsi="Times New Roman" w:eastAsia="仿宋_GB2312"/>
                <w:sz w:val="3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福州市长乐区东南大数据产业园</w:t>
            </w:r>
            <w:r>
              <w:rPr>
                <w:rFonts w:ascii="宋体" w:hAnsi="宋体" w:eastAsia="宋体"/>
                <w:sz w:val="24"/>
                <w:szCs w:val="24"/>
              </w:rPr>
              <w:t>2期2号楼9层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负责人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Times New Roman" w:hAnsi="Times New Roman" w:eastAsia="仿宋_GB2312"/>
                <w:sz w:val="30"/>
              </w:rPr>
              <w:t>-</w:t>
            </w:r>
            <w:r>
              <w:rPr>
                <w:rFonts w:ascii="Times New Roman" w:hAnsi="Times New Roman" w:eastAsia="仿宋_GB2312"/>
                <w:sz w:val="30"/>
              </w:rPr>
              <w:t>-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Times New Roman" w:hAnsi="Times New Roman" w:eastAsia="仿宋_GB2312"/>
                <w:sz w:val="30"/>
              </w:rPr>
              <w:t>-</w:t>
            </w:r>
            <w:r>
              <w:rPr>
                <w:rFonts w:ascii="Times New Roman" w:hAnsi="Times New Roman" w:eastAsia="仿宋_GB2312"/>
                <w:sz w:val="30"/>
              </w:rPr>
              <w:t>-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>设计单位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福建嘉博联合设计股份有限公司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传真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福州市晋安区长乐北路116号立洲大厦1</w:t>
            </w:r>
            <w:r>
              <w:rPr>
                <w:rFonts w:ascii="宋体" w:hAnsi="宋体" w:eastAsia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层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10层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sz w:val="24"/>
                <w:szCs w:val="24"/>
              </w:rPr>
              <w:t>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负责人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-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-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-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-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>深化设计单位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金茂慧创建筑科技（北京）有限公司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Times New Roman" w:hAnsi="Times New Roman" w:eastAsia="仿宋_GB2312"/>
                <w:sz w:val="30"/>
              </w:rPr>
              <w:t>-</w:t>
            </w:r>
            <w:r>
              <w:rPr>
                <w:rFonts w:ascii="Times New Roman" w:hAnsi="Times New Roman" w:eastAsia="仿宋_GB2312"/>
                <w:sz w:val="3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北京市西城区复兴门外大街A</w:t>
            </w: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号中化大厦6层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传真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Times New Roman" w:hAnsi="Times New Roman" w:eastAsia="仿宋_GB2312"/>
                <w:sz w:val="30"/>
              </w:rPr>
              <w:t>-</w:t>
            </w:r>
            <w:r>
              <w:rPr>
                <w:rFonts w:ascii="Times New Roman" w:hAnsi="Times New Roman" w:eastAsia="仿宋_GB2312"/>
                <w:sz w:val="3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负责人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-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-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-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-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>施工单位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中建四局建设发展有限公司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传真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Times New Roman" w:hAnsi="Times New Roman" w:eastAsia="仿宋_GB2312"/>
                <w:sz w:val="30"/>
              </w:rPr>
              <w:t>-</w:t>
            </w:r>
            <w:r>
              <w:rPr>
                <w:rFonts w:ascii="Times New Roman" w:hAnsi="Times New Roman" w:eastAsia="仿宋_GB2312"/>
                <w:sz w:val="3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厦门市湖里区禾山街道枋湖北二路</w:t>
            </w:r>
            <w:r>
              <w:rPr>
                <w:rFonts w:ascii="宋体" w:hAnsi="宋体" w:eastAsia="宋体"/>
                <w:sz w:val="24"/>
                <w:szCs w:val="24"/>
              </w:rPr>
              <w:t>889号801单元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361006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负责人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宋体" w:hAnsi="宋体" w:eastAsia="宋体"/>
                <w:sz w:val="20"/>
                <w:szCs w:val="20"/>
              </w:rPr>
              <w:t>--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宋体" w:hAnsi="宋体" w:eastAsia="宋体"/>
                <w:sz w:val="20"/>
                <w:szCs w:val="20"/>
              </w:rPr>
              <w:t>--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>监理单位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广东广信建筑工程监理有限公司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传真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广州市番禺区洛浦街迎宾路196号A栋5003、5005、5017、5018房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511431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负责人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Times New Roman" w:hAnsi="Times New Roman" w:eastAsia="仿宋_GB2312"/>
                <w:sz w:val="30"/>
              </w:rPr>
              <w:t>-</w:t>
            </w:r>
            <w:r>
              <w:rPr>
                <w:rFonts w:ascii="Times New Roman" w:hAnsi="Times New Roman" w:eastAsia="仿宋_GB2312"/>
                <w:sz w:val="3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</w:rPr>
              <w:t>部品部件生产单位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福建省城投科技有限公司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传真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4422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福州市台江区宁化支路6</w:t>
            </w:r>
            <w:r>
              <w:rPr>
                <w:rFonts w:ascii="宋体" w:hAnsi="宋体" w:eastAsia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号福机新苑1号楼商业层一层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负责人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-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-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联系人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-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-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9667" w:type="dxa"/>
            <w:gridSpan w:val="15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 w:val="30"/>
              </w:rPr>
            </w:pPr>
            <w:r>
              <w:rPr>
                <w:rFonts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阶段</w:t>
            </w:r>
          </w:p>
        </w:tc>
        <w:tc>
          <w:tcPr>
            <w:tcW w:w="367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起止时间</w:t>
            </w:r>
          </w:p>
        </w:tc>
        <w:tc>
          <w:tcPr>
            <w:tcW w:w="3761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ascii="Times New Roman" w:hAnsi="Times New Roman" w:eastAsia="仿宋_GB2312"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设计阶段</w:t>
            </w:r>
          </w:p>
        </w:tc>
        <w:tc>
          <w:tcPr>
            <w:tcW w:w="367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FF0000"/>
                <w:sz w:val="30"/>
              </w:rPr>
            </w:pPr>
          </w:p>
        </w:tc>
        <w:tc>
          <w:tcPr>
            <w:tcW w:w="3761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建设准备阶段</w:t>
            </w:r>
          </w:p>
        </w:tc>
        <w:tc>
          <w:tcPr>
            <w:tcW w:w="367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FF0000"/>
                <w:sz w:val="30"/>
              </w:rPr>
            </w:pPr>
          </w:p>
        </w:tc>
        <w:tc>
          <w:tcPr>
            <w:tcW w:w="3761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建设实施阶段</w:t>
            </w:r>
          </w:p>
        </w:tc>
        <w:tc>
          <w:tcPr>
            <w:tcW w:w="367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FF0000"/>
                <w:sz w:val="30"/>
              </w:rPr>
            </w:pPr>
          </w:p>
        </w:tc>
        <w:tc>
          <w:tcPr>
            <w:tcW w:w="3761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23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竣工验收阶段</w:t>
            </w:r>
          </w:p>
        </w:tc>
        <w:tc>
          <w:tcPr>
            <w:tcW w:w="367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FF0000"/>
                <w:sz w:val="30"/>
              </w:rPr>
            </w:pPr>
          </w:p>
        </w:tc>
        <w:tc>
          <w:tcPr>
            <w:tcW w:w="3761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FF0000"/>
                <w:sz w:val="30"/>
              </w:rPr>
            </w:pPr>
          </w:p>
        </w:tc>
      </w:tr>
    </w:tbl>
    <w:p>
      <w:pPr>
        <w:spacing w:line="500" w:lineRule="atLeast"/>
        <w:rPr>
          <w:rFonts w:ascii="Times New Roman" w:hAnsi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1"/>
          <w:cols w:space="720" w:num="1"/>
        </w:sectPr>
      </w:pPr>
    </w:p>
    <w:tbl>
      <w:tblPr>
        <w:tblStyle w:val="9"/>
        <w:tblW w:w="9286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842"/>
        <w:gridCol w:w="1701"/>
        <w:gridCol w:w="4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92" w:lineRule="auto"/>
              <w:ind w:firstLine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由我司开发建设的“福州滨海新城2019年第32号地块”，宗地编号为“2019滨拍-5号”，合同编号35018220191211BP004。本项目由地块一～地块十五共15个小地块组成。因开发进度原因，本项目中地块一~地块十二相关批复尚未通过，地块十三、地块十四先行施工。</w:t>
            </w:r>
          </w:p>
          <w:p>
            <w:pPr>
              <w:spacing w:line="392" w:lineRule="auto"/>
              <w:ind w:firstLine="550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4"/>
              </w:rPr>
              <w:t>地块十三、地块十四，项目名称：滨海未来城（一期）十三、十四地块，其中</w:t>
            </w:r>
            <w:r>
              <w:rPr>
                <w:rFonts w:ascii="仿宋" w:hAnsi="仿宋" w:eastAsia="仿宋"/>
                <w:sz w:val="24"/>
              </w:rPr>
              <w:t>1#、2#、3#、7#、9#、16#、18#、19#楼为装配式建筑，合计</w:t>
            </w:r>
            <w:r>
              <w:rPr>
                <w:rFonts w:hint="eastAsia" w:ascii="仿宋" w:hAnsi="仿宋" w:eastAsia="仿宋"/>
                <w:sz w:val="24"/>
              </w:rPr>
              <w:t>计容</w:t>
            </w:r>
            <w:r>
              <w:rPr>
                <w:rFonts w:ascii="仿宋" w:hAnsi="仿宋" w:eastAsia="仿宋"/>
                <w:sz w:val="24"/>
              </w:rPr>
              <w:t>面积为80290㎡，</w:t>
            </w:r>
            <w:r>
              <w:rPr>
                <w:rFonts w:hint="eastAsia" w:ascii="仿宋" w:hAnsi="仿宋" w:eastAsia="仿宋"/>
                <w:sz w:val="24"/>
              </w:rPr>
              <w:t>滨海未来城（一期）十三、十四地块</w:t>
            </w:r>
            <w:r>
              <w:rPr>
                <w:rFonts w:ascii="仿宋" w:hAnsi="仿宋" w:eastAsia="仿宋"/>
                <w:sz w:val="24"/>
              </w:rPr>
              <w:t xml:space="preserve">总计容面积为146925.51㎡，采用装配式建筑面积占比为54.65%，预制构件为预制楼板、预制楼梯、预制挑板，装配率分别为50%、50%、50%、50%、50%、51%、51%、50%。 </w:t>
            </w:r>
          </w:p>
          <w:p>
            <w:pPr>
              <w:spacing w:line="4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．主体结构应用情况</w:t>
            </w:r>
          </w:p>
          <w:p>
            <w:pPr>
              <w:spacing w:after="195"/>
              <w:ind w:left="29" w:firstLine="550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4"/>
              </w:rPr>
              <w:t>“福州滨海新城</w:t>
            </w:r>
            <w:r>
              <w:rPr>
                <w:rFonts w:ascii="仿宋" w:hAnsi="仿宋" w:eastAsia="仿宋"/>
                <w:sz w:val="24"/>
              </w:rPr>
              <w:t>2019</w:t>
            </w:r>
            <w:r>
              <w:rPr>
                <w:rFonts w:hint="eastAsia" w:ascii="仿宋" w:hAnsi="仿宋" w:eastAsia="仿宋"/>
                <w:sz w:val="24"/>
              </w:rPr>
              <w:t>年第</w:t>
            </w:r>
            <w:r>
              <w:rPr>
                <w:rFonts w:ascii="仿宋" w:hAnsi="仿宋" w:eastAsia="仿宋"/>
                <w:sz w:val="24"/>
              </w:rPr>
              <w:t>32</w:t>
            </w:r>
            <w:r>
              <w:rPr>
                <w:rFonts w:hint="eastAsia" w:ascii="仿宋" w:hAnsi="仿宋" w:eastAsia="仿宋"/>
                <w:sz w:val="24"/>
              </w:rPr>
              <w:t>号地块”中滨海未来城（一期）十三、十四地块</w:t>
            </w:r>
            <w:r>
              <w:rPr>
                <w:rFonts w:ascii="仿宋" w:hAnsi="仿宋" w:eastAsia="仿宋"/>
                <w:sz w:val="24"/>
              </w:rPr>
              <w:t>1#、2#、3#、7#、9#、16#、18#、19#楼采用钢筋桁架叠合板</w:t>
            </w:r>
            <w:r>
              <w:rPr>
                <w:rFonts w:hint="eastAsia" w:ascii="仿宋" w:hAnsi="仿宋" w:eastAsia="仿宋"/>
                <w:sz w:val="24"/>
              </w:rPr>
              <w:t>、</w:t>
            </w:r>
            <w:r>
              <w:rPr>
                <w:rFonts w:ascii="仿宋" w:hAnsi="仿宋" w:eastAsia="仿宋"/>
                <w:sz w:val="24"/>
              </w:rPr>
              <w:t>全预制</w:t>
            </w:r>
            <w:r>
              <w:rPr>
                <w:rFonts w:hint="eastAsia" w:ascii="仿宋" w:hAnsi="仿宋" w:eastAsia="仿宋"/>
                <w:sz w:val="24"/>
              </w:rPr>
              <w:t>挑</w:t>
            </w:r>
            <w:r>
              <w:rPr>
                <w:rFonts w:ascii="仿宋" w:hAnsi="仿宋" w:eastAsia="仿宋"/>
                <w:sz w:val="24"/>
              </w:rPr>
              <w:t xml:space="preserve">板及预制楼梯。 </w:t>
            </w:r>
          </w:p>
          <w:p>
            <w:pPr>
              <w:spacing w:after="195"/>
              <w:ind w:left="29" w:firstLine="550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4"/>
              </w:rPr>
              <w:t xml:space="preserve">水平构件中预制部品部件的应用比例计算结果如下： </w:t>
            </w:r>
          </w:p>
          <w:tbl>
            <w:tblPr>
              <w:tblStyle w:val="10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99"/>
              <w:gridCol w:w="2195"/>
              <w:gridCol w:w="1797"/>
              <w:gridCol w:w="179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楼号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装配式楼板面积（m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2</w:t>
                  </w:r>
                  <w:r>
                    <w:rPr>
                      <w:rFonts w:hint="eastAsia" w:ascii="仿宋" w:hAnsi="仿宋" w:eastAsia="仿宋" w:cstheme="minorBidi"/>
                      <w:sz w:val="22"/>
                    </w:rPr>
                    <w:t>）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外轮廓面积(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m2)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  <w:vertAlign w:val="subscript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Q</w:t>
                  </w:r>
                  <w:r>
                    <w:rPr>
                      <w:rFonts w:ascii="仿宋" w:hAnsi="仿宋" w:eastAsia="仿宋" w:cstheme="minorBidi"/>
                      <w:sz w:val="22"/>
                      <w:vertAlign w:val="subscript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1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6679.94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8134.07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82.12%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2#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10409.98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12663.18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82.21%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3#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6360.31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7746.52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82.11%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7#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6283.54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7633.80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82.31%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9#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14602.92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17752.45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82.26%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16#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8662.45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10602.73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82.64%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1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8#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6801.51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8235.74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82.59%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1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9#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14581.58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17733.84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82.22%</w:t>
                  </w:r>
                </w:p>
              </w:tc>
            </w:tr>
          </w:tbl>
          <w:p>
            <w:pPr>
              <w:spacing w:after="150"/>
              <w:rPr>
                <w:rFonts w:ascii="仿宋" w:hAnsi="仿宋" w:eastAsia="仿宋"/>
                <w:sz w:val="24"/>
              </w:rPr>
            </w:pPr>
          </w:p>
          <w:p>
            <w:pPr>
              <w:spacing w:after="150"/>
              <w:rPr>
                <w:rFonts w:ascii="仿宋" w:hAnsi="仿宋" w:eastAsia="仿宋"/>
                <w:sz w:val="22"/>
              </w:rPr>
            </w:pPr>
            <w:r>
              <w:rPr>
                <w:rFonts w:ascii="仿宋" w:hAnsi="仿宋" w:eastAsia="仿宋"/>
                <w:sz w:val="24"/>
              </w:rPr>
              <w:t>根据内插法，本项</w:t>
            </w:r>
          </w:p>
          <w:p>
            <w:pPr>
              <w:spacing w:after="1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1#得分 a=20+（82.12 -70）/（85-70）*（35-20）=32.12，</w:t>
            </w:r>
          </w:p>
          <w:p>
            <w:pPr>
              <w:spacing w:after="1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2#得分 a=20+（82.21 -70）/（85-70）*（35-20）=32.21，</w:t>
            </w:r>
          </w:p>
          <w:p>
            <w:pPr>
              <w:spacing w:after="1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3#得分 a=20+（82.11 -70）/（85-70）*（35-20）=32.11，</w:t>
            </w:r>
          </w:p>
          <w:p>
            <w:pPr>
              <w:spacing w:after="1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7#得分 a=20+（82.31 -70）/（85-70）*（35-20）=32.31，</w:t>
            </w:r>
          </w:p>
          <w:p>
            <w:pPr>
              <w:spacing w:after="1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9#得分 a=20+（82.26 -70）/（85-70）*（35-20）=32.26，</w:t>
            </w:r>
          </w:p>
          <w:p>
            <w:pPr>
              <w:spacing w:after="1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16#得分 a=20+（82.64 -70）/（85-70）*（35-20）=32.64，</w:t>
            </w:r>
          </w:p>
          <w:p>
            <w:pPr>
              <w:spacing w:after="1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18#得分 a=20+（82.59 -70）/（85-70）*（35-20）=32.59，</w:t>
            </w:r>
          </w:p>
          <w:p>
            <w:pPr>
              <w:spacing w:after="1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19#得分 a=20+（82.22 -70）/（85-70）*（35-20）=32.22，</w:t>
            </w:r>
          </w:p>
          <w:p>
            <w:pPr>
              <w:ind w:left="29" w:firstLine="559"/>
              <w:rPr>
                <w:rFonts w:ascii="宋体" w:hAnsi="宋体" w:eastAsia="宋体"/>
                <w:sz w:val="28"/>
              </w:rPr>
            </w:pPr>
            <w:r>
              <w:rPr>
                <w:rFonts w:ascii="仿宋" w:hAnsi="仿宋" w:eastAsia="仿宋"/>
                <w:sz w:val="24"/>
              </w:rPr>
              <w:t>根据《福建省装配式建筑装配率计算细则》（试行）1#、2#、5#主体结构得分分别可得 32.12 分、32.21 分、32.11 分、32.31 分、32.26 分、32.64分、32.59分、32.22分。</w:t>
            </w:r>
            <w:r>
              <w:rPr>
                <w:rFonts w:ascii="宋体" w:hAnsi="宋体" w:eastAsia="宋体"/>
                <w:sz w:val="28"/>
              </w:rPr>
              <w:t xml:space="preserve"> 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．围护墙和内隔墙应用情况</w:t>
            </w:r>
          </w:p>
          <w:p>
            <w:pPr>
              <w:spacing w:after="150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“福州滨海新城</w:t>
            </w:r>
            <w:r>
              <w:rPr>
                <w:rFonts w:ascii="仿宋" w:hAnsi="仿宋" w:eastAsia="仿宋"/>
                <w:sz w:val="24"/>
              </w:rPr>
              <w:t>2019</w:t>
            </w:r>
            <w:r>
              <w:rPr>
                <w:rFonts w:hint="eastAsia" w:ascii="仿宋" w:hAnsi="仿宋" w:eastAsia="仿宋"/>
                <w:sz w:val="24"/>
              </w:rPr>
              <w:t>年第</w:t>
            </w:r>
            <w:r>
              <w:rPr>
                <w:rFonts w:ascii="仿宋" w:hAnsi="仿宋" w:eastAsia="仿宋"/>
                <w:sz w:val="24"/>
              </w:rPr>
              <w:t>32</w:t>
            </w:r>
            <w:r>
              <w:rPr>
                <w:rFonts w:hint="eastAsia" w:ascii="仿宋" w:hAnsi="仿宋" w:eastAsia="仿宋"/>
                <w:sz w:val="24"/>
              </w:rPr>
              <w:t>号地块”中滨海未来城（一期）十三、十四地块</w:t>
            </w:r>
            <w:r>
              <w:rPr>
                <w:rFonts w:ascii="仿宋" w:hAnsi="仿宋" w:eastAsia="仿宋"/>
                <w:sz w:val="24"/>
              </w:rPr>
              <w:t>1#、2#、3#、7#、9#、16#、18#、19#楼采用装配式内隔墙，其所占比例≥80%。 滨海未来城装配式内隔墙计算结果如下：</w:t>
            </w:r>
          </w:p>
          <w:tbl>
            <w:tblPr>
              <w:tblStyle w:val="10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99"/>
              <w:gridCol w:w="2195"/>
              <w:gridCol w:w="1797"/>
              <w:gridCol w:w="179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楼号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装配式内隔墙面积（m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2</w:t>
                  </w:r>
                  <w:r>
                    <w:rPr>
                      <w:rFonts w:hint="eastAsia" w:ascii="仿宋" w:hAnsi="仿宋" w:eastAsia="仿宋" w:cstheme="minorBidi"/>
                      <w:sz w:val="22"/>
                    </w:rPr>
                    <w:t>）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内隔墙总面积(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m2)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  <w:vertAlign w:val="subscript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Q</w:t>
                  </w:r>
                  <w:r>
                    <w:rPr>
                      <w:rFonts w:ascii="仿宋" w:hAnsi="仿宋" w:eastAsia="仿宋" w:cstheme="minorBidi"/>
                      <w:sz w:val="22"/>
                      <w:vertAlign w:val="subscript"/>
                    </w:rPr>
                    <w:t>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1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4580.37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5545</w:t>
                  </w:r>
                  <w:r>
                    <w:rPr>
                      <w:rFonts w:hint="eastAsia" w:ascii="仿宋" w:hAnsi="仿宋" w:eastAsia="仿宋" w:cstheme="minorBidi"/>
                      <w:sz w:val="22"/>
                    </w:rPr>
                    <w:t>．6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7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82.59%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2#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7126.91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8840.29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80.62%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3#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3894.24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4667.88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83.43%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7#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3982.54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4815.62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82.70%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9#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10023.46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12343.25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81.21%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16#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5582.36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6765.52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82.51%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1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8#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4159.25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5180.23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80.29%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  <w:jc w:val="center"/>
              </w:trPr>
              <w:tc>
                <w:tcPr>
                  <w:tcW w:w="1399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hint="eastAsia" w:ascii="仿宋" w:hAnsi="仿宋" w:eastAsia="仿宋" w:cstheme="minorBidi"/>
                      <w:sz w:val="22"/>
                    </w:rPr>
                    <w:t>1</w:t>
                  </w:r>
                  <w:r>
                    <w:rPr>
                      <w:rFonts w:ascii="仿宋" w:hAnsi="仿宋" w:eastAsia="仿宋" w:cstheme="minorBidi"/>
                      <w:sz w:val="22"/>
                    </w:rPr>
                    <w:t>9#</w:t>
                  </w:r>
                </w:p>
              </w:tc>
              <w:tc>
                <w:tcPr>
                  <w:tcW w:w="2195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9619.89</w:t>
                  </w:r>
                </w:p>
              </w:tc>
              <w:tc>
                <w:tcPr>
                  <w:tcW w:w="1797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11856.42</w:t>
                  </w:r>
                </w:p>
              </w:tc>
              <w:tc>
                <w:tcPr>
                  <w:tcW w:w="1798" w:type="dxa"/>
                  <w:vAlign w:val="center"/>
                </w:tcPr>
                <w:p>
                  <w:pPr>
                    <w:spacing w:after="150"/>
                    <w:jc w:val="center"/>
                    <w:rPr>
                      <w:rFonts w:ascii="仿宋" w:hAnsi="仿宋" w:eastAsia="仿宋" w:cstheme="minorBidi"/>
                      <w:sz w:val="22"/>
                    </w:rPr>
                  </w:pPr>
                  <w:r>
                    <w:rPr>
                      <w:rFonts w:ascii="仿宋" w:hAnsi="仿宋" w:eastAsia="仿宋" w:cstheme="minorBidi"/>
                      <w:sz w:val="22"/>
                    </w:rPr>
                    <w:t>81.14%</w:t>
                  </w:r>
                </w:p>
              </w:tc>
            </w:tr>
          </w:tbl>
          <w:p>
            <w:pPr>
              <w:spacing w:after="150"/>
              <w:rPr>
                <w:rFonts w:ascii="仿宋" w:hAnsi="仿宋" w:eastAsia="仿宋"/>
                <w:sz w:val="24"/>
              </w:rPr>
            </w:pPr>
          </w:p>
          <w:p>
            <w:pPr>
              <w:spacing w:after="150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装配式内隔墙比例均超过 80%，本项得分 a=10</w:t>
            </w:r>
            <w:r>
              <w:rPr>
                <w:rFonts w:hint="eastAsia" w:ascii="仿宋" w:hAnsi="仿宋" w:eastAsia="仿宋"/>
                <w:sz w:val="24"/>
              </w:rPr>
              <w:t>。</w:t>
            </w:r>
          </w:p>
          <w:p>
            <w:pPr>
              <w:spacing w:after="150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根据《福建省装配式建筑装配率计算细则》（试行）围护墙和内隔墙总计可得 10 分。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．装修和设备管线应用情况</w:t>
            </w:r>
          </w:p>
          <w:p>
            <w:pPr>
              <w:spacing w:after="28" w:line="393" w:lineRule="auto"/>
              <w:ind w:left="29" w:firstLine="480" w:firstLineChars="200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4"/>
              </w:rPr>
              <w:t xml:space="preserve"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滨海未来城未采用全装修施工，因此根据《福建省装配式建筑装配率计算细则》（试行）采用全装修可得 0 分。 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4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．技术创新应用情况</w:t>
            </w:r>
          </w:p>
          <w:p>
            <w:pPr>
              <w:spacing w:line="417" w:lineRule="auto"/>
              <w:ind w:left="2" w:firstLine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1）“福州滨海新城</w:t>
            </w:r>
            <w:r>
              <w:rPr>
                <w:rFonts w:ascii="仿宋" w:hAnsi="仿宋" w:eastAsia="仿宋"/>
                <w:sz w:val="24"/>
              </w:rPr>
              <w:t>2019</w:t>
            </w:r>
            <w:r>
              <w:rPr>
                <w:rFonts w:hint="eastAsia" w:ascii="仿宋" w:hAnsi="仿宋" w:eastAsia="仿宋"/>
                <w:sz w:val="24"/>
              </w:rPr>
              <w:t>年第</w:t>
            </w:r>
            <w:r>
              <w:rPr>
                <w:rFonts w:ascii="仿宋" w:hAnsi="仿宋" w:eastAsia="仿宋"/>
                <w:sz w:val="24"/>
              </w:rPr>
              <w:t>32</w:t>
            </w:r>
            <w:r>
              <w:rPr>
                <w:rFonts w:hint="eastAsia" w:ascii="仿宋" w:hAnsi="仿宋" w:eastAsia="仿宋"/>
                <w:sz w:val="24"/>
              </w:rPr>
              <w:t>号地块”中滨海未来城（一期）十三、十四地块</w:t>
            </w:r>
            <w:r>
              <w:rPr>
                <w:rFonts w:ascii="仿宋" w:hAnsi="仿宋" w:eastAsia="仿宋"/>
                <w:sz w:val="24"/>
              </w:rPr>
              <w:t>1#、2#、3#、7#、9#、16#、18#、19#楼在设计阶段和施工阶段均采用 BIM 技术，在设计阶段提供主体结构、装配式内隔墙、BIM 模型，依据《福建省装配式建筑评价管理办法（试行）》得分6分。</w:t>
            </w:r>
          </w:p>
          <w:p>
            <w:pPr>
              <w:spacing w:line="417" w:lineRule="auto"/>
              <w:ind w:left="2" w:firstLine="5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  <w:r>
              <w:rPr>
                <w:rFonts w:ascii="仿宋" w:hAnsi="仿宋" w:eastAsia="仿宋"/>
                <w:sz w:val="24"/>
              </w:rPr>
              <w:t>采用可追溯系统，得分 2 分。</w:t>
            </w:r>
          </w:p>
          <w:p>
            <w:pPr>
              <w:spacing w:line="417" w:lineRule="auto"/>
              <w:ind w:left="2" w:firstLine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3）设计标准化、模数化：</w:t>
            </w:r>
          </w:p>
          <w:p>
            <w:pPr>
              <w:spacing w:line="417" w:lineRule="auto"/>
              <w:ind w:left="2" w:firstLine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本项目标准层层高为2</w:t>
            </w:r>
            <w:r>
              <w:rPr>
                <w:rFonts w:ascii="仿宋" w:hAnsi="仿宋" w:eastAsia="仿宋"/>
                <w:sz w:val="24"/>
              </w:rPr>
              <w:t>.95</w:t>
            </w:r>
            <w:r>
              <w:rPr>
                <w:rFonts w:hint="eastAsia" w:ascii="仿宋" w:hAnsi="仿宋" w:eastAsia="仿宋"/>
                <w:sz w:val="24"/>
              </w:rPr>
              <w:t>米，故此项减2分；建筑平面轴线尺寸都为1M整数倍，不减分；楼梯开间进深尺寸为2M或3M的整数倍，不减分；</w:t>
            </w:r>
          </w:p>
          <w:p>
            <w:pPr>
              <w:spacing w:line="417" w:lineRule="auto"/>
              <w:ind w:left="2" w:firstLine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4）部品部件通用化：</w:t>
            </w:r>
          </w:p>
          <w:p>
            <w:pPr>
              <w:spacing w:line="417" w:lineRule="auto"/>
              <w:ind w:left="2" w:firstLine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得2分。</w:t>
            </w:r>
          </w:p>
          <w:p>
            <w:pPr>
              <w:spacing w:line="417" w:lineRule="auto"/>
              <w:ind w:left="2" w:firstLine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本项目所有楼栋的楼梯板尺寸都为2.88X1.18，1#3#7#18#(12F)四栋楼共有楼梯板4X42=168个，16#(16F)共有楼梯板58个， 2#(18F)共有楼梯板66个， 9#19#(26F)共有楼梯板2X98=196个，一共有488个，得</w:t>
            </w:r>
            <w:r>
              <w:rPr>
                <w:rFonts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分。</w:t>
            </w:r>
          </w:p>
          <w:p>
            <w:pPr>
              <w:spacing w:line="417" w:lineRule="auto"/>
              <w:ind w:left="2" w:firstLine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#</w:t>
            </w:r>
            <w:r>
              <w:rPr>
                <w:rFonts w:hint="eastAsia" w:ascii="仿宋" w:hAnsi="仿宋" w:eastAsia="仿宋"/>
                <w:sz w:val="24"/>
              </w:rPr>
              <w:t>叠合板尺寸3.12X2.1，单栋数量为12X12=144片&gt;100片；</w:t>
            </w:r>
            <w:r>
              <w:rPr>
                <w:rFonts w:ascii="仿宋" w:hAnsi="仿宋" w:eastAsia="仿宋"/>
                <w:sz w:val="24"/>
              </w:rPr>
              <w:t>2#</w:t>
            </w:r>
            <w:r>
              <w:rPr>
                <w:rFonts w:hint="eastAsia" w:ascii="仿宋" w:hAnsi="仿宋" w:eastAsia="仿宋"/>
                <w:sz w:val="24"/>
              </w:rPr>
              <w:t>叠合板尺寸3.12X2.1，单栋数量为12X1</w:t>
            </w:r>
            <w:r>
              <w:rPr>
                <w:rFonts w:ascii="仿宋" w:hAnsi="仿宋" w:eastAsia="仿宋"/>
                <w:sz w:val="24"/>
              </w:rPr>
              <w:t>8</w:t>
            </w:r>
            <w:r>
              <w:rPr>
                <w:rFonts w:hint="eastAsia" w:ascii="仿宋" w:hAnsi="仿宋" w:eastAsia="仿宋"/>
                <w:sz w:val="24"/>
              </w:rPr>
              <w:t>=</w:t>
            </w:r>
            <w:r>
              <w:rPr>
                <w:rFonts w:ascii="仿宋" w:hAnsi="仿宋" w:eastAsia="仿宋"/>
                <w:sz w:val="24"/>
              </w:rPr>
              <w:t>216</w:t>
            </w:r>
            <w:r>
              <w:rPr>
                <w:rFonts w:hint="eastAsia" w:ascii="仿宋" w:hAnsi="仿宋" w:eastAsia="仿宋"/>
                <w:sz w:val="24"/>
              </w:rPr>
              <w:t>片&gt;100片；</w:t>
            </w:r>
            <w:r>
              <w:rPr>
                <w:rFonts w:ascii="仿宋" w:hAnsi="仿宋" w:eastAsia="仿宋"/>
                <w:sz w:val="24"/>
              </w:rPr>
              <w:t>3#7#</w:t>
            </w:r>
            <w:r>
              <w:rPr>
                <w:rFonts w:hint="eastAsia" w:ascii="仿宋" w:hAnsi="仿宋" w:eastAsia="仿宋"/>
                <w:sz w:val="24"/>
              </w:rPr>
              <w:t>叠合板尺寸3.</w:t>
            </w:r>
            <w:r>
              <w:rPr>
                <w:rFonts w:ascii="仿宋" w:hAnsi="仿宋" w:eastAsia="仿宋"/>
                <w:sz w:val="24"/>
              </w:rPr>
              <w:t>32</w:t>
            </w:r>
            <w:r>
              <w:rPr>
                <w:rFonts w:hint="eastAsia" w:ascii="仿宋" w:hAnsi="仿宋" w:eastAsia="仿宋"/>
                <w:sz w:val="24"/>
              </w:rPr>
              <w:t>X2.</w:t>
            </w:r>
            <w:r>
              <w:rPr>
                <w:rFonts w:ascii="仿宋" w:hAnsi="仿宋" w:eastAsia="仿宋"/>
                <w:sz w:val="24"/>
              </w:rPr>
              <w:t>26</w:t>
            </w:r>
            <w:r>
              <w:rPr>
                <w:rFonts w:hint="eastAsia" w:ascii="仿宋" w:hAnsi="仿宋" w:eastAsia="仿宋"/>
                <w:sz w:val="24"/>
              </w:rPr>
              <w:t>，单栋数量为</w:t>
            </w:r>
            <w:r>
              <w:rPr>
                <w:rFonts w:ascii="仿宋" w:hAnsi="仿宋" w:eastAsia="仿宋"/>
                <w:sz w:val="24"/>
              </w:rPr>
              <w:t>9</w:t>
            </w: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11+3</w:t>
            </w:r>
            <w:r>
              <w:rPr>
                <w:rFonts w:hint="eastAsia" w:ascii="仿宋" w:hAnsi="仿宋" w:eastAsia="仿宋"/>
                <w:sz w:val="24"/>
              </w:rPr>
              <w:t>=</w:t>
            </w:r>
            <w:r>
              <w:rPr>
                <w:rFonts w:ascii="仿宋" w:hAnsi="仿宋" w:eastAsia="仿宋"/>
                <w:sz w:val="24"/>
              </w:rPr>
              <w:t>102</w:t>
            </w:r>
            <w:r>
              <w:rPr>
                <w:rFonts w:hint="eastAsia" w:ascii="仿宋" w:hAnsi="仿宋" w:eastAsia="仿宋"/>
                <w:sz w:val="24"/>
              </w:rPr>
              <w:t>片&gt;100片；</w:t>
            </w:r>
            <w:r>
              <w:rPr>
                <w:rFonts w:ascii="仿宋" w:hAnsi="仿宋" w:eastAsia="仿宋"/>
                <w:sz w:val="24"/>
              </w:rPr>
              <w:t>9#19#</w:t>
            </w:r>
            <w:r>
              <w:rPr>
                <w:rFonts w:hint="eastAsia" w:ascii="仿宋" w:hAnsi="仿宋" w:eastAsia="仿宋"/>
                <w:sz w:val="24"/>
              </w:rPr>
              <w:t>叠合板尺寸3.</w:t>
            </w:r>
            <w:r>
              <w:rPr>
                <w:rFonts w:ascii="仿宋" w:hAnsi="仿宋" w:eastAsia="仿宋"/>
                <w:sz w:val="24"/>
              </w:rPr>
              <w:t>32</w:t>
            </w:r>
            <w:r>
              <w:rPr>
                <w:rFonts w:hint="eastAsia" w:ascii="仿宋" w:hAnsi="仿宋" w:eastAsia="仿宋"/>
                <w:sz w:val="24"/>
              </w:rPr>
              <w:t>X2.</w:t>
            </w:r>
            <w:r>
              <w:rPr>
                <w:rFonts w:ascii="仿宋" w:hAnsi="仿宋" w:eastAsia="仿宋"/>
                <w:sz w:val="24"/>
              </w:rPr>
              <w:t>26</w:t>
            </w:r>
            <w:r>
              <w:rPr>
                <w:rFonts w:hint="eastAsia" w:ascii="仿宋" w:hAnsi="仿宋" w:eastAsia="仿宋"/>
                <w:sz w:val="24"/>
              </w:rPr>
              <w:t>，单栋数量为</w:t>
            </w:r>
            <w:r>
              <w:rPr>
                <w:rFonts w:ascii="仿宋" w:hAnsi="仿宋" w:eastAsia="仿宋"/>
                <w:sz w:val="24"/>
              </w:rPr>
              <w:t>12</w:t>
            </w:r>
            <w:r>
              <w:rPr>
                <w:rFonts w:hint="eastAsia" w:ascii="仿宋" w:hAnsi="仿宋" w:eastAsia="仿宋"/>
                <w:sz w:val="24"/>
              </w:rPr>
              <w:t>X</w:t>
            </w:r>
            <w:r>
              <w:rPr>
                <w:rFonts w:ascii="仿宋" w:hAnsi="仿宋" w:eastAsia="仿宋"/>
                <w:sz w:val="24"/>
              </w:rPr>
              <w:t>26</w:t>
            </w:r>
            <w:r>
              <w:rPr>
                <w:rFonts w:hint="eastAsia" w:ascii="仿宋" w:hAnsi="仿宋" w:eastAsia="仿宋"/>
                <w:sz w:val="24"/>
              </w:rPr>
              <w:t>=</w:t>
            </w:r>
            <w:r>
              <w:rPr>
                <w:rFonts w:ascii="仿宋" w:hAnsi="仿宋" w:eastAsia="仿宋"/>
                <w:sz w:val="24"/>
              </w:rPr>
              <w:t>312</w:t>
            </w:r>
            <w:r>
              <w:rPr>
                <w:rFonts w:hint="eastAsia" w:ascii="仿宋" w:hAnsi="仿宋" w:eastAsia="仿宋"/>
                <w:sz w:val="24"/>
              </w:rPr>
              <w:t>片&gt;100片；1</w:t>
            </w:r>
            <w:r>
              <w:rPr>
                <w:rFonts w:ascii="仿宋" w:hAnsi="仿宋" w:eastAsia="仿宋"/>
                <w:sz w:val="24"/>
              </w:rPr>
              <w:t>6#</w:t>
            </w:r>
            <w:r>
              <w:rPr>
                <w:rFonts w:hint="eastAsia" w:ascii="仿宋" w:hAnsi="仿宋" w:eastAsia="仿宋"/>
                <w:sz w:val="24"/>
              </w:rPr>
              <w:t>叠合板尺寸3.</w:t>
            </w:r>
            <w:r>
              <w:rPr>
                <w:rFonts w:ascii="仿宋" w:hAnsi="仿宋" w:eastAsia="仿宋"/>
                <w:sz w:val="24"/>
              </w:rPr>
              <w:t>32</w:t>
            </w:r>
            <w:r>
              <w:rPr>
                <w:rFonts w:hint="eastAsia" w:ascii="仿宋" w:hAnsi="仿宋" w:eastAsia="仿宋"/>
                <w:sz w:val="24"/>
              </w:rPr>
              <w:t>X2.</w:t>
            </w:r>
            <w:r>
              <w:rPr>
                <w:rFonts w:ascii="仿宋" w:hAnsi="仿宋" w:eastAsia="仿宋"/>
                <w:sz w:val="24"/>
              </w:rPr>
              <w:t>26</w:t>
            </w:r>
            <w:r>
              <w:rPr>
                <w:rFonts w:hint="eastAsia" w:ascii="仿宋" w:hAnsi="仿宋" w:eastAsia="仿宋"/>
                <w:sz w:val="24"/>
              </w:rPr>
              <w:t>，单栋数量为9X15+3=</w:t>
            </w:r>
            <w:r>
              <w:rPr>
                <w:rFonts w:ascii="仿宋" w:hAnsi="仿宋" w:eastAsia="仿宋"/>
                <w:sz w:val="24"/>
              </w:rPr>
              <w:t>147</w:t>
            </w:r>
            <w:r>
              <w:rPr>
                <w:rFonts w:hint="eastAsia" w:ascii="仿宋" w:hAnsi="仿宋" w:eastAsia="仿宋"/>
                <w:sz w:val="24"/>
              </w:rPr>
              <w:t>片&gt;100片；</w:t>
            </w:r>
            <w:r>
              <w:rPr>
                <w:rFonts w:ascii="仿宋" w:hAnsi="仿宋" w:eastAsia="仿宋"/>
                <w:sz w:val="24"/>
              </w:rPr>
              <w:t>18#</w:t>
            </w:r>
            <w:r>
              <w:rPr>
                <w:rFonts w:hint="eastAsia" w:ascii="仿宋" w:hAnsi="仿宋" w:eastAsia="仿宋"/>
                <w:sz w:val="24"/>
              </w:rPr>
              <w:t>叠合板尺寸3.</w:t>
            </w:r>
            <w:r>
              <w:rPr>
                <w:rFonts w:ascii="仿宋" w:hAnsi="仿宋" w:eastAsia="仿宋"/>
                <w:sz w:val="24"/>
              </w:rPr>
              <w:t>32</w:t>
            </w:r>
            <w:r>
              <w:rPr>
                <w:rFonts w:hint="eastAsia" w:ascii="仿宋" w:hAnsi="仿宋" w:eastAsia="仿宋"/>
                <w:sz w:val="24"/>
              </w:rPr>
              <w:t>X2.</w:t>
            </w:r>
            <w:r>
              <w:rPr>
                <w:rFonts w:ascii="仿宋" w:hAnsi="仿宋" w:eastAsia="仿宋"/>
                <w:sz w:val="24"/>
              </w:rPr>
              <w:t>26</w:t>
            </w:r>
            <w:r>
              <w:rPr>
                <w:rFonts w:hint="eastAsia" w:ascii="仿宋" w:hAnsi="仿宋" w:eastAsia="仿宋"/>
                <w:sz w:val="24"/>
              </w:rPr>
              <w:t>，单栋数量为9X</w:t>
            </w:r>
            <w:r>
              <w:rPr>
                <w:rFonts w:ascii="仿宋" w:hAnsi="仿宋" w:eastAsia="仿宋"/>
                <w:sz w:val="24"/>
              </w:rPr>
              <w:t>11+3</w:t>
            </w:r>
            <w:r>
              <w:rPr>
                <w:rFonts w:hint="eastAsia" w:ascii="仿宋" w:hAnsi="仿宋" w:eastAsia="仿宋"/>
                <w:sz w:val="24"/>
              </w:rPr>
              <w:t>=</w:t>
            </w:r>
            <w:r>
              <w:rPr>
                <w:rFonts w:ascii="仿宋" w:hAnsi="仿宋" w:eastAsia="仿宋"/>
                <w:sz w:val="24"/>
              </w:rPr>
              <w:t>102</w:t>
            </w:r>
            <w:r>
              <w:rPr>
                <w:rFonts w:hint="eastAsia" w:ascii="仿宋" w:hAnsi="仿宋" w:eastAsia="仿宋"/>
                <w:sz w:val="24"/>
              </w:rPr>
              <w:t>片&gt;100片，得</w:t>
            </w:r>
            <w:r>
              <w:rPr>
                <w:rFonts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分。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仿宋_GB2312" w:hAnsi="Times New Roman" w:eastAsia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hint="eastAsia" w:ascii="仿宋_GB2312" w:hAnsi="Times New Roman" w:eastAsia="仿宋_GB2312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福州</w:t>
            </w:r>
            <w:r>
              <w:rPr>
                <w:rFonts w:hint="eastAsia" w:ascii="仿宋" w:hAnsi="仿宋" w:eastAsia="仿宋"/>
                <w:sz w:val="24"/>
              </w:rPr>
              <w:t>滨茂</w:t>
            </w:r>
            <w:r>
              <w:rPr>
                <w:rFonts w:ascii="仿宋" w:hAnsi="仿宋" w:eastAsia="仿宋"/>
                <w:sz w:val="24"/>
              </w:rPr>
              <w:t>房地产有限公司</w:t>
            </w:r>
            <w:r>
              <w:rPr>
                <w:rFonts w:hint="eastAsia" w:ascii="仿宋" w:hAnsi="仿宋" w:eastAsia="仿宋"/>
                <w:sz w:val="24"/>
              </w:rPr>
              <w:t>为</w:t>
            </w:r>
            <w:r>
              <w:rPr>
                <w:rFonts w:ascii="仿宋" w:hAnsi="仿宋" w:eastAsia="仿宋"/>
                <w:sz w:val="24"/>
              </w:rPr>
              <w:t>中国金茂控股集团有限公司</w:t>
            </w:r>
            <w:r>
              <w:rPr>
                <w:rFonts w:hint="eastAsia" w:ascii="仿宋" w:hAnsi="仿宋" w:eastAsia="仿宋"/>
                <w:sz w:val="24"/>
              </w:rPr>
              <w:t>子公司</w:t>
            </w:r>
            <w:r>
              <w:rPr>
                <w:rFonts w:ascii="仿宋" w:hAnsi="仿宋" w:eastAsia="仿宋"/>
                <w:sz w:val="24"/>
              </w:rPr>
              <w:t>，</w:t>
            </w:r>
            <w:r>
              <w:rPr>
                <w:rFonts w:hint="eastAsia" w:ascii="仿宋" w:hAnsi="仿宋" w:eastAsia="仿宋"/>
                <w:sz w:val="24"/>
              </w:rPr>
              <w:t>中国金茂</w:t>
            </w:r>
            <w:r>
              <w:rPr>
                <w:rFonts w:ascii="仿宋" w:hAnsi="仿宋" w:eastAsia="仿宋"/>
                <w:sz w:val="24"/>
              </w:rPr>
              <w:t>是</w:t>
            </w:r>
            <w:r>
              <w:fldChar w:fldCharType="begin"/>
            </w:r>
            <w:r>
              <w:instrText xml:space="preserve"> HYPERLINK "https://baike.baidu.com/item/%E4%B8%96%E7%95%8C%E4%BA%94%E7%99%BE%E5%BC%BA/436797"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世界五百强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企业之一</w:t>
            </w:r>
            <w:r>
              <w:fldChar w:fldCharType="begin"/>
            </w:r>
            <w:r>
              <w:instrText xml:space="preserve"> HYPERLINK "https://baike.baidu.com/item/%E4%B8%AD%E5%9B%BD%E4%B8%AD%E5%8C%96%E9%9B%86%E5%9B%A2%E6%9C%89%E9%99%90%E5%85%AC%E5%8F%B8/22359980"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中国中化集团有限公司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旗下</w:t>
            </w:r>
            <w:r>
              <w:fldChar w:fldCharType="begin"/>
            </w:r>
            <w:r>
              <w:instrText xml:space="preserve"> HYPERLINK "https://baike.baidu.com/item/%E6%88%BF%E5%9C%B0%E4%BA%A7/241021"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房地产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和</w:t>
            </w:r>
            <w:r>
              <w:fldChar w:fldCharType="begin"/>
            </w:r>
            <w:r>
              <w:instrText xml:space="preserve"> HYPERLINK "https://baike.baidu.com/item/%E9%85%92%E5%BA%97%E6%9D%BF%E5%9D%97/12735482"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酒店板块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的平台企业，于2007年8月17日在</w:t>
            </w:r>
            <w:r>
              <w:fldChar w:fldCharType="begin"/>
            </w:r>
            <w:r>
              <w:instrText xml:space="preserve"> HYPERLINK "https://baike.baidu.com/item/%E9%A6%99%E6%B8%AF%E8%81%94%E5%90%88%E4%BA%A4%E6%98%93%E6%89%80/271848"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香港联合交易所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主板上市（股票代码：HK.00817），是香港</w:t>
            </w:r>
            <w:r>
              <w:fldChar w:fldCharType="begin"/>
            </w:r>
            <w:r>
              <w:instrText xml:space="preserve"> HYPERLINK "https://baike.baidu.com/item/%E6%81%92%E7%94%9F%E7%BB%BC%E5%90%88%E6%8C%87%E6%95%B0"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恒生综合指数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成份股之一。公司旗下品牌“</w:t>
            </w:r>
            <w:r>
              <w:fldChar w:fldCharType="begin"/>
            </w:r>
            <w:r>
              <w:instrText xml:space="preserve"> HYPERLINK "https://baike.baidu.com/item/%E9%87%91%E8%8C%82/5324565"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金茂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”为</w:t>
            </w:r>
            <w:r>
              <w:fldChar w:fldCharType="begin"/>
            </w:r>
            <w:r>
              <w:instrText xml:space="preserve"> HYPERLINK "https://baike.baidu.com/item/%E4%B8%AD%E5%9B%BD%E9%A9%B0%E5%90%8D%E5%95%86%E6%A0%87/9999062"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中国驰名商标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，自2005年以来，“金茂”已连续十六次入围“</w:t>
            </w:r>
            <w:r>
              <w:fldChar w:fldCharType="begin"/>
            </w:r>
            <w:r>
              <w:instrText xml:space="preserve"> HYPERLINK "https://baike.baidu.com/item/%E4%B8%AD%E5%9B%BD500%E6%9C%80%E5%85%B7%E4%BB%B7%E5%80%BC%E5%93%81%E7%89%8C/16508350"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中国500最具价值品牌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”榜。</w:t>
            </w:r>
            <w:r>
              <w:rPr>
                <w:rFonts w:eastAsia="仿宋" w:cs="Calibri"/>
                <w:sz w:val="24"/>
              </w:rPr>
              <w:t> 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截止2018年，中国金茂已经在全国6大核心区域进行布局，累计进入40座城市，并逐渐形成了以“金茂”品牌为核心的府、悦、墅三大高端产品系列。中国金茂持有业务规模稳步扩大，中国金茂在一线城市核心地段及热点旅游景区拥有16家在建及运营豪华酒店；在北京、上海、南京等核心城市黄金地段拥有多个地标写字楼。北京</w:t>
            </w:r>
            <w:r>
              <w:fldChar w:fldCharType="begin"/>
            </w:r>
            <w:r>
              <w:instrText xml:space="preserve"> HYPERLINK "https://baike.baidu.com/item/%E5%87%AF%E6%99%A8%E4%B8%96%E8%B4%B8%E4%B8%AD%E5%BF%83/9106236"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凯晨世贸中心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、</w:t>
            </w:r>
            <w:r>
              <w:fldChar w:fldCharType="begin"/>
            </w:r>
            <w:r>
              <w:instrText xml:space="preserve"> HYPERLINK "https://baike.baidu.com/item/%E4%B8%8A%E6%B5%B7%E9%87%91%E8%8C%82%E5%A4%A7%E5%8E%A6/2946581" \t "_blank" </w:instrText>
            </w:r>
            <w:r>
              <w:fldChar w:fldCharType="separate"/>
            </w:r>
            <w:r>
              <w:rPr>
                <w:rFonts w:ascii="仿宋" w:hAnsi="仿宋" w:eastAsia="仿宋"/>
                <w:sz w:val="24"/>
              </w:rPr>
              <w:t>上海金茂大厦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出租率和租金均处于所在城市领先水平；</w:t>
            </w:r>
            <w:r>
              <w:rPr>
                <w:rFonts w:eastAsia="仿宋" w:cs="Calibri"/>
                <w:sz w:val="24"/>
              </w:rPr>
              <w:t> </w:t>
            </w:r>
            <w:r>
              <w:rPr>
                <w:rFonts w:ascii="仿宋" w:hAnsi="仿宋" w:eastAsia="仿宋"/>
                <w:sz w:val="24"/>
              </w:rPr>
              <w:t>金茂零售商业已在上海、三亚、南京及丽江、长沙等地开业。在2018年，中国金茂实现</w:t>
            </w:r>
            <w:r>
              <w:rPr>
                <w:rFonts w:ascii="仿宋" w:hAnsi="仿宋" w:eastAsia="仿宋"/>
                <w:sz w:val="24"/>
              </w:rPr>
              <w:fldChar w:fldCharType="begin"/>
            </w:r>
            <w:r>
              <w:rPr>
                <w:rFonts w:ascii="仿宋" w:hAnsi="仿宋" w:eastAsia="仿宋"/>
                <w:sz w:val="24"/>
              </w:rPr>
              <w:instrText xml:space="preserve"> HYPERLINK "https://baike.baidu.com/item/%E5%BC%A0%E5%AE%B6%E6%B8%AF%E6%99%BA%E6%85%A7%E7%A7%91%E5%AD%A6%E5%9F%8E/24586625" \t "_blank" </w:instrText>
            </w:r>
            <w:r>
              <w:rPr>
                <w:rFonts w:ascii="仿宋" w:hAnsi="仿宋" w:eastAsia="仿宋"/>
                <w:sz w:val="24"/>
              </w:rPr>
              <w:fldChar w:fldCharType="separate"/>
            </w:r>
            <w:r>
              <w:rPr>
                <w:rFonts w:ascii="仿宋" w:hAnsi="仿宋" w:eastAsia="仿宋"/>
                <w:sz w:val="24"/>
              </w:rPr>
              <w:t>张家港智慧科学城</w:t>
            </w:r>
            <w:r>
              <w:rPr>
                <w:rFonts w:ascii="仿宋" w:hAnsi="仿宋" w:eastAsia="仿宋"/>
                <w:sz w:val="24"/>
              </w:rPr>
              <w:fldChar w:fldCharType="end"/>
            </w:r>
            <w:r>
              <w:rPr>
                <w:rFonts w:ascii="仿宋" w:hAnsi="仿宋" w:eastAsia="仿宋"/>
                <w:sz w:val="24"/>
              </w:rPr>
              <w:t>等3个城市运营项目正式落地，新增26个框架合作协议签署；2019年，在温州、嘉兴、杭州、郑州、无锡、岳阳、福州等地正式落地7个城市运营项目</w:t>
            </w:r>
            <w:bookmarkStart w:id="0" w:name="ref_[51]_23919689"/>
            <w:r>
              <w:rPr>
                <w:rFonts w:eastAsia="仿宋" w:cs="Calibri"/>
                <w:sz w:val="24"/>
              </w:rPr>
              <w:t> </w:t>
            </w:r>
            <w:bookmarkEnd w:id="0"/>
            <w:r>
              <w:rPr>
                <w:rFonts w:eastAsia="仿宋" w:cs="Calibri"/>
                <w:sz w:val="24"/>
              </w:rPr>
              <w:t> </w:t>
            </w:r>
            <w:r>
              <w:rPr>
                <w:rFonts w:hint="eastAsia" w:eastAsia="仿宋" w:cs="Calibri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hAnsi="Times New Roman" w:eastAsia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 w:eastAsia="仿宋_GB2312"/>
                <w:sz w:val="24"/>
              </w:rPr>
              <w:t>（包括建设、工程总承包、设计、主要构件生产、施工、监理、咨询单位技术负责人）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30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名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30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30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称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sz w:val="30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杨少强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Times New Roman" w:eastAsia="仿宋_GB2312"/>
                <w:sz w:val="30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13696905387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工程师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项目建设总经理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廖扬兴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17705012413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工程师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设计负责人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司建超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15001337940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工程师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深化设计负责人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傅晓峰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15059466494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工程师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施工负责人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张桂生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13609580938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工程师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监理负责人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王泽龙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>3825612858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工程师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构件生产负责人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由我司开发建设的“福州滨海新城2019年第32号地块”，宗地编号为“2019滨拍-5号”，合同编号35018220191211BP004。本项目由地块一～地块十五共15个小地块组成。因开发进度原因，本项目中地块一~地块十二相关批复尚未通过，地块十三、地块十四预先行施工。</w:t>
            </w:r>
          </w:p>
          <w:p>
            <w:pPr>
              <w:spacing w:line="56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地块十三、地块十四，项目名称为：滨海未来城（一期）十三、十四地块，项目位于福州市长乐滨海新区。其中1</w:t>
            </w:r>
            <w:r>
              <w:rPr>
                <w:rFonts w:ascii="仿宋" w:hAnsi="仿宋" w:eastAsia="仿宋"/>
                <w:sz w:val="24"/>
              </w:rPr>
              <w:t>#</w:t>
            </w:r>
            <w:r>
              <w:rPr>
                <w:rFonts w:hint="eastAsia" w:ascii="仿宋" w:hAnsi="仿宋" w:eastAsia="仿宋"/>
                <w:sz w:val="24"/>
              </w:rPr>
              <w:t>、2</w:t>
            </w:r>
            <w:r>
              <w:rPr>
                <w:rFonts w:ascii="仿宋" w:hAnsi="仿宋" w:eastAsia="仿宋"/>
                <w:sz w:val="24"/>
              </w:rPr>
              <w:t>#</w:t>
            </w:r>
            <w:r>
              <w:rPr>
                <w:rFonts w:hint="eastAsia" w:ascii="仿宋" w:hAnsi="仿宋" w:eastAsia="仿宋"/>
                <w:sz w:val="24"/>
              </w:rPr>
              <w:t>、3#、7#、9#、16#、18#、19#楼为装配式建筑，实施面积</w:t>
            </w:r>
            <w:r>
              <w:rPr>
                <w:rFonts w:ascii="仿宋" w:hAnsi="仿宋" w:eastAsia="仿宋"/>
                <w:sz w:val="24"/>
              </w:rPr>
              <w:t>80290㎡，</w:t>
            </w:r>
            <w:r>
              <w:rPr>
                <w:rFonts w:hint="eastAsia" w:ascii="仿宋" w:hAnsi="仿宋" w:eastAsia="仿宋"/>
                <w:sz w:val="24"/>
              </w:rPr>
              <w:t>我司于2020年8月1日组织召开滨海未来城（一期）十三、十四地块项目工业化建筑设计阶段认定专家论证会，会上专家提出项目BIM模型需分专业表达的问题。会后我司立即按照会议精神及要求进行整改，已于2020年8月2日完成，现申请正式办理项目工业化建筑设计阶段认定，望批准。</w:t>
            </w:r>
          </w:p>
          <w:p>
            <w:pPr>
              <w:ind w:firstLine="6840" w:firstLineChars="2850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  <w:p>
            <w:pPr>
              <w:spacing w:line="56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               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  <w:p>
            <w:pPr>
              <w:spacing w:line="56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Times New Roman" w:hAns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/>
                <w:sz w:val="24"/>
                <w:szCs w:val="24"/>
              </w:rPr>
              <w:t>结论：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180" w:firstLineChars="1742"/>
              <w:rPr>
                <w:rFonts w:ascii="Times New Roman" w:hAnsi="仿宋_GB2312" w:eastAsia="仿宋_GB2312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/>
                <w:sz w:val="24"/>
                <w:szCs w:val="24"/>
              </w:rPr>
              <w:t>签字：</w:t>
            </w:r>
          </w:p>
          <w:p>
            <w:pPr>
              <w:spacing w:line="560" w:lineRule="exact"/>
              <w:ind w:firstLine="4180" w:firstLineChars="1742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560" w:lineRule="exact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仿宋_GB2312" w:eastAsia="仿宋_GB231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7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Times New Roman" w:hAnsi="Times New Roman" w:eastAsia="仿宋_GB2312"/>
                <w:sz w:val="30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</w:p>
          <w:p>
            <w:pPr>
              <w:ind w:firstLine="7200" w:firstLineChars="3000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  <w:p>
            <w:pPr>
              <w:rPr>
                <w:rFonts w:ascii="仿宋_GB2312" w:hAnsi="Times New Roman" w:eastAsia="仿宋_GB2312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30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               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</w:tr>
    </w:tbl>
    <w:p>
      <w:pPr>
        <w:spacing w:line="500" w:lineRule="atLeast"/>
        <w:rPr>
          <w:rFonts w:ascii="Times New Roman" w:hAnsi="Times New Roman" w:eastAsia="仿宋_GB2312"/>
          <w:sz w:val="32"/>
          <w:szCs w:val="32"/>
        </w:rPr>
      </w:pPr>
    </w:p>
    <w:p>
      <w:pPr>
        <w:spacing w:line="20" w:lineRule="exact"/>
        <w:rPr>
          <w:rFonts w:ascii="Times New Roman" w:hAnsi="Times New Roman" w:eastAsia="仿宋_GB2312"/>
          <w:sz w:val="32"/>
          <w:szCs w:val="32"/>
        </w:rPr>
      </w:pPr>
    </w:p>
    <w:sectPr>
      <w:pgSz w:w="11906" w:h="16838"/>
      <w:pgMar w:top="1588" w:right="1474" w:bottom="147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F4B"/>
    <w:rsid w:val="0000014A"/>
    <w:rsid w:val="00015D58"/>
    <w:rsid w:val="000372A0"/>
    <w:rsid w:val="00042BBA"/>
    <w:rsid w:val="00043B88"/>
    <w:rsid w:val="00073DB0"/>
    <w:rsid w:val="00080B1B"/>
    <w:rsid w:val="00093BA0"/>
    <w:rsid w:val="00094DF6"/>
    <w:rsid w:val="000B0A04"/>
    <w:rsid w:val="000C1CB5"/>
    <w:rsid w:val="000C47F6"/>
    <w:rsid w:val="000C7CD4"/>
    <w:rsid w:val="000D0283"/>
    <w:rsid w:val="000D74F1"/>
    <w:rsid w:val="000E46FA"/>
    <w:rsid w:val="0010440B"/>
    <w:rsid w:val="00107953"/>
    <w:rsid w:val="00112C8E"/>
    <w:rsid w:val="00117E95"/>
    <w:rsid w:val="001230B0"/>
    <w:rsid w:val="00127214"/>
    <w:rsid w:val="001531DE"/>
    <w:rsid w:val="00173B24"/>
    <w:rsid w:val="00176299"/>
    <w:rsid w:val="0018049E"/>
    <w:rsid w:val="00187E8E"/>
    <w:rsid w:val="00193DE3"/>
    <w:rsid w:val="001B4F64"/>
    <w:rsid w:val="001C51CE"/>
    <w:rsid w:val="001C5D86"/>
    <w:rsid w:val="001D5DC4"/>
    <w:rsid w:val="001E4538"/>
    <w:rsid w:val="001F212F"/>
    <w:rsid w:val="002028BE"/>
    <w:rsid w:val="00207129"/>
    <w:rsid w:val="00207900"/>
    <w:rsid w:val="00207C5A"/>
    <w:rsid w:val="00210B47"/>
    <w:rsid w:val="00217256"/>
    <w:rsid w:val="00222BA4"/>
    <w:rsid w:val="00230B39"/>
    <w:rsid w:val="00232E4A"/>
    <w:rsid w:val="00253E59"/>
    <w:rsid w:val="002542CF"/>
    <w:rsid w:val="00263E7A"/>
    <w:rsid w:val="0027370E"/>
    <w:rsid w:val="0027726F"/>
    <w:rsid w:val="00281B99"/>
    <w:rsid w:val="002976D5"/>
    <w:rsid w:val="002A3BA6"/>
    <w:rsid w:val="002B59A7"/>
    <w:rsid w:val="002D1439"/>
    <w:rsid w:val="002D179E"/>
    <w:rsid w:val="002D17DC"/>
    <w:rsid w:val="002D4999"/>
    <w:rsid w:val="002F349B"/>
    <w:rsid w:val="002F5A7A"/>
    <w:rsid w:val="003064B7"/>
    <w:rsid w:val="0031328A"/>
    <w:rsid w:val="00314E66"/>
    <w:rsid w:val="00330A24"/>
    <w:rsid w:val="00336BE5"/>
    <w:rsid w:val="00337EB7"/>
    <w:rsid w:val="003450C7"/>
    <w:rsid w:val="00352485"/>
    <w:rsid w:val="00353892"/>
    <w:rsid w:val="00371931"/>
    <w:rsid w:val="00377F94"/>
    <w:rsid w:val="003905C4"/>
    <w:rsid w:val="00391033"/>
    <w:rsid w:val="00394795"/>
    <w:rsid w:val="003A3CAF"/>
    <w:rsid w:val="003B1D8B"/>
    <w:rsid w:val="003B4C52"/>
    <w:rsid w:val="003D547E"/>
    <w:rsid w:val="003E2532"/>
    <w:rsid w:val="003E4E75"/>
    <w:rsid w:val="003F063E"/>
    <w:rsid w:val="003F2355"/>
    <w:rsid w:val="00400822"/>
    <w:rsid w:val="004063FC"/>
    <w:rsid w:val="00410995"/>
    <w:rsid w:val="004152FE"/>
    <w:rsid w:val="00426908"/>
    <w:rsid w:val="00427A97"/>
    <w:rsid w:val="00432FF5"/>
    <w:rsid w:val="0043643E"/>
    <w:rsid w:val="00445BBF"/>
    <w:rsid w:val="00445F0B"/>
    <w:rsid w:val="00477407"/>
    <w:rsid w:val="00483D4C"/>
    <w:rsid w:val="00490622"/>
    <w:rsid w:val="004950BA"/>
    <w:rsid w:val="00497017"/>
    <w:rsid w:val="004C6784"/>
    <w:rsid w:val="004D1A31"/>
    <w:rsid w:val="004D6678"/>
    <w:rsid w:val="004E3273"/>
    <w:rsid w:val="004E4C76"/>
    <w:rsid w:val="0050313C"/>
    <w:rsid w:val="00504317"/>
    <w:rsid w:val="00510E08"/>
    <w:rsid w:val="005147C5"/>
    <w:rsid w:val="005149AD"/>
    <w:rsid w:val="00520BDA"/>
    <w:rsid w:val="00524364"/>
    <w:rsid w:val="00526362"/>
    <w:rsid w:val="005372A4"/>
    <w:rsid w:val="00556150"/>
    <w:rsid w:val="00560D49"/>
    <w:rsid w:val="005655E5"/>
    <w:rsid w:val="00567471"/>
    <w:rsid w:val="005734C1"/>
    <w:rsid w:val="00581575"/>
    <w:rsid w:val="00592113"/>
    <w:rsid w:val="00594616"/>
    <w:rsid w:val="005A4DDC"/>
    <w:rsid w:val="005A7C36"/>
    <w:rsid w:val="005B74FD"/>
    <w:rsid w:val="005C3E90"/>
    <w:rsid w:val="005C4869"/>
    <w:rsid w:val="005D3665"/>
    <w:rsid w:val="005E675A"/>
    <w:rsid w:val="005F3651"/>
    <w:rsid w:val="005F3D85"/>
    <w:rsid w:val="005F7F4B"/>
    <w:rsid w:val="00634FD6"/>
    <w:rsid w:val="0065334A"/>
    <w:rsid w:val="006543F5"/>
    <w:rsid w:val="00655061"/>
    <w:rsid w:val="0066494D"/>
    <w:rsid w:val="0067084E"/>
    <w:rsid w:val="00670C6F"/>
    <w:rsid w:val="00680866"/>
    <w:rsid w:val="00681591"/>
    <w:rsid w:val="00684AB5"/>
    <w:rsid w:val="006860CB"/>
    <w:rsid w:val="0069375C"/>
    <w:rsid w:val="0069476E"/>
    <w:rsid w:val="00695485"/>
    <w:rsid w:val="006A2E82"/>
    <w:rsid w:val="006A34C0"/>
    <w:rsid w:val="006A42B8"/>
    <w:rsid w:val="006B64FF"/>
    <w:rsid w:val="006D0707"/>
    <w:rsid w:val="006E2D20"/>
    <w:rsid w:val="006E723D"/>
    <w:rsid w:val="006F5321"/>
    <w:rsid w:val="00701511"/>
    <w:rsid w:val="00702420"/>
    <w:rsid w:val="00722888"/>
    <w:rsid w:val="00723C54"/>
    <w:rsid w:val="00736297"/>
    <w:rsid w:val="007364B4"/>
    <w:rsid w:val="00740053"/>
    <w:rsid w:val="00740112"/>
    <w:rsid w:val="00740F52"/>
    <w:rsid w:val="007425D8"/>
    <w:rsid w:val="00744D0B"/>
    <w:rsid w:val="00763576"/>
    <w:rsid w:val="0076438E"/>
    <w:rsid w:val="00765F67"/>
    <w:rsid w:val="00767308"/>
    <w:rsid w:val="007708E4"/>
    <w:rsid w:val="00773374"/>
    <w:rsid w:val="00784683"/>
    <w:rsid w:val="007A039D"/>
    <w:rsid w:val="007A0731"/>
    <w:rsid w:val="007A1B34"/>
    <w:rsid w:val="007A68E4"/>
    <w:rsid w:val="007A74A8"/>
    <w:rsid w:val="007B5B5A"/>
    <w:rsid w:val="007E698C"/>
    <w:rsid w:val="008001F0"/>
    <w:rsid w:val="00804957"/>
    <w:rsid w:val="00813E88"/>
    <w:rsid w:val="008147AF"/>
    <w:rsid w:val="008248B9"/>
    <w:rsid w:val="00826CBE"/>
    <w:rsid w:val="008401CF"/>
    <w:rsid w:val="00847C6E"/>
    <w:rsid w:val="008510FC"/>
    <w:rsid w:val="008534DE"/>
    <w:rsid w:val="008650B6"/>
    <w:rsid w:val="00870C95"/>
    <w:rsid w:val="00887DBC"/>
    <w:rsid w:val="00893ABC"/>
    <w:rsid w:val="00894654"/>
    <w:rsid w:val="008A728B"/>
    <w:rsid w:val="008B426A"/>
    <w:rsid w:val="008C6E17"/>
    <w:rsid w:val="008D5AD0"/>
    <w:rsid w:val="008E1118"/>
    <w:rsid w:val="008E35D4"/>
    <w:rsid w:val="008E486C"/>
    <w:rsid w:val="008E6DB3"/>
    <w:rsid w:val="008F1F3C"/>
    <w:rsid w:val="008F20F6"/>
    <w:rsid w:val="0090451E"/>
    <w:rsid w:val="00904FDF"/>
    <w:rsid w:val="00911424"/>
    <w:rsid w:val="009227CF"/>
    <w:rsid w:val="00931EB7"/>
    <w:rsid w:val="00935C4E"/>
    <w:rsid w:val="009425DD"/>
    <w:rsid w:val="00947EF4"/>
    <w:rsid w:val="00952050"/>
    <w:rsid w:val="00954F2B"/>
    <w:rsid w:val="00960193"/>
    <w:rsid w:val="009620DC"/>
    <w:rsid w:val="00964F4B"/>
    <w:rsid w:val="00971AA9"/>
    <w:rsid w:val="009768D8"/>
    <w:rsid w:val="009776CD"/>
    <w:rsid w:val="00980A15"/>
    <w:rsid w:val="009815FE"/>
    <w:rsid w:val="00984947"/>
    <w:rsid w:val="009871A5"/>
    <w:rsid w:val="0099120E"/>
    <w:rsid w:val="00991876"/>
    <w:rsid w:val="009A7190"/>
    <w:rsid w:val="009B2FFD"/>
    <w:rsid w:val="009B5636"/>
    <w:rsid w:val="009B5FCB"/>
    <w:rsid w:val="009B637A"/>
    <w:rsid w:val="009C03BA"/>
    <w:rsid w:val="009C4F2F"/>
    <w:rsid w:val="009E2E21"/>
    <w:rsid w:val="00A01919"/>
    <w:rsid w:val="00A25483"/>
    <w:rsid w:val="00A26185"/>
    <w:rsid w:val="00A428AD"/>
    <w:rsid w:val="00A533F7"/>
    <w:rsid w:val="00A618FF"/>
    <w:rsid w:val="00A70EF8"/>
    <w:rsid w:val="00A77440"/>
    <w:rsid w:val="00A83032"/>
    <w:rsid w:val="00A840E6"/>
    <w:rsid w:val="00A95AE1"/>
    <w:rsid w:val="00A964C2"/>
    <w:rsid w:val="00AA5F7A"/>
    <w:rsid w:val="00AC167C"/>
    <w:rsid w:val="00AC4A9A"/>
    <w:rsid w:val="00AC75D0"/>
    <w:rsid w:val="00AE4666"/>
    <w:rsid w:val="00AF061B"/>
    <w:rsid w:val="00AF5265"/>
    <w:rsid w:val="00AF533F"/>
    <w:rsid w:val="00B05400"/>
    <w:rsid w:val="00B05890"/>
    <w:rsid w:val="00B05F04"/>
    <w:rsid w:val="00B1149D"/>
    <w:rsid w:val="00B12128"/>
    <w:rsid w:val="00B20426"/>
    <w:rsid w:val="00B22CD4"/>
    <w:rsid w:val="00B22CED"/>
    <w:rsid w:val="00B234F7"/>
    <w:rsid w:val="00B25089"/>
    <w:rsid w:val="00B318F4"/>
    <w:rsid w:val="00B37DAC"/>
    <w:rsid w:val="00B43866"/>
    <w:rsid w:val="00B44680"/>
    <w:rsid w:val="00B64B6A"/>
    <w:rsid w:val="00B835D3"/>
    <w:rsid w:val="00B83971"/>
    <w:rsid w:val="00B84618"/>
    <w:rsid w:val="00B9474B"/>
    <w:rsid w:val="00B9746F"/>
    <w:rsid w:val="00BB6CBF"/>
    <w:rsid w:val="00BD446A"/>
    <w:rsid w:val="00BE4475"/>
    <w:rsid w:val="00BE5B37"/>
    <w:rsid w:val="00C06172"/>
    <w:rsid w:val="00C2183D"/>
    <w:rsid w:val="00C32DB1"/>
    <w:rsid w:val="00C41674"/>
    <w:rsid w:val="00C425A1"/>
    <w:rsid w:val="00C42B15"/>
    <w:rsid w:val="00C45319"/>
    <w:rsid w:val="00C457F3"/>
    <w:rsid w:val="00C50671"/>
    <w:rsid w:val="00C732B5"/>
    <w:rsid w:val="00CA785C"/>
    <w:rsid w:val="00CB0E08"/>
    <w:rsid w:val="00CB6610"/>
    <w:rsid w:val="00CC4D3C"/>
    <w:rsid w:val="00CC4E9D"/>
    <w:rsid w:val="00CC68B8"/>
    <w:rsid w:val="00CD09E4"/>
    <w:rsid w:val="00CE1C13"/>
    <w:rsid w:val="00CE590B"/>
    <w:rsid w:val="00CF6BE0"/>
    <w:rsid w:val="00D25F33"/>
    <w:rsid w:val="00D52864"/>
    <w:rsid w:val="00D72641"/>
    <w:rsid w:val="00D75F48"/>
    <w:rsid w:val="00D83553"/>
    <w:rsid w:val="00DD3855"/>
    <w:rsid w:val="00DD6D0A"/>
    <w:rsid w:val="00DE02A4"/>
    <w:rsid w:val="00DE20AD"/>
    <w:rsid w:val="00DE53D8"/>
    <w:rsid w:val="00DF22EB"/>
    <w:rsid w:val="00E15670"/>
    <w:rsid w:val="00E209A4"/>
    <w:rsid w:val="00E35D6F"/>
    <w:rsid w:val="00E45F8A"/>
    <w:rsid w:val="00E47D96"/>
    <w:rsid w:val="00E50FB1"/>
    <w:rsid w:val="00E7408C"/>
    <w:rsid w:val="00E762AB"/>
    <w:rsid w:val="00E76D36"/>
    <w:rsid w:val="00E90356"/>
    <w:rsid w:val="00E97056"/>
    <w:rsid w:val="00EC0995"/>
    <w:rsid w:val="00EC19DD"/>
    <w:rsid w:val="00ED01BB"/>
    <w:rsid w:val="00ED44EE"/>
    <w:rsid w:val="00EE52F4"/>
    <w:rsid w:val="00EE7DF8"/>
    <w:rsid w:val="00EF71FC"/>
    <w:rsid w:val="00F076DC"/>
    <w:rsid w:val="00F1354B"/>
    <w:rsid w:val="00F22044"/>
    <w:rsid w:val="00F23F35"/>
    <w:rsid w:val="00F26D19"/>
    <w:rsid w:val="00F37688"/>
    <w:rsid w:val="00F53ABD"/>
    <w:rsid w:val="00F612B6"/>
    <w:rsid w:val="00F6222B"/>
    <w:rsid w:val="00F73EB8"/>
    <w:rsid w:val="00F74E2E"/>
    <w:rsid w:val="00F84680"/>
    <w:rsid w:val="00F93A09"/>
    <w:rsid w:val="00FA25CA"/>
    <w:rsid w:val="00FB63EF"/>
    <w:rsid w:val="00FC332A"/>
    <w:rsid w:val="00FD1359"/>
    <w:rsid w:val="00FD26C9"/>
    <w:rsid w:val="00FD27B3"/>
    <w:rsid w:val="00FD5711"/>
    <w:rsid w:val="00FF3BCC"/>
    <w:rsid w:val="00FF4802"/>
    <w:rsid w:val="40981AFC"/>
    <w:rsid w:val="4D266C8E"/>
    <w:rsid w:val="52C222ED"/>
    <w:rsid w:val="599F3605"/>
    <w:rsid w:val="7A72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qFormat/>
    <w:uiPriority w:val="0"/>
    <w:pPr>
      <w:widowControl/>
      <w:adjustRightInd w:val="0"/>
      <w:snapToGrid w:val="0"/>
      <w:spacing w:after="200"/>
      <w:jc w:val="left"/>
    </w:pPr>
    <w:rPr>
      <w:rFonts w:ascii="Tahoma" w:hAnsi="Tahoma" w:eastAsia="Times New Roman"/>
      <w:kern w:val="0"/>
      <w:sz w:val="20"/>
      <w:szCs w:val="20"/>
    </w:rPr>
  </w:style>
  <w:style w:type="paragraph" w:styleId="3">
    <w:name w:val="Body Text"/>
    <w:basedOn w:val="1"/>
    <w:link w:val="20"/>
    <w:qFormat/>
    <w:uiPriority w:val="0"/>
    <w:pPr>
      <w:ind w:left="120"/>
      <w:jc w:val="left"/>
    </w:pPr>
    <w:rPr>
      <w:rFonts w:ascii="宋体" w:hAnsi="宋体"/>
      <w:kern w:val="0"/>
      <w:sz w:val="20"/>
      <w:szCs w:val="20"/>
      <w:lang w:eastAsia="en-US"/>
    </w:rPr>
  </w:style>
  <w:style w:type="paragraph" w:styleId="4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1"/>
    <w:semiHidden/>
    <w:qFormat/>
    <w:uiPriority w:val="0"/>
    <w:pPr>
      <w:widowControl w:val="0"/>
      <w:adjustRightInd/>
      <w:snapToGrid/>
      <w:spacing w:after="0"/>
    </w:pPr>
    <w:rPr>
      <w:rFonts w:ascii="Times New Roman" w:hAnsi="Times New Roman" w:eastAsia="宋体"/>
      <w:b/>
      <w:bCs/>
      <w:kern w:val="2"/>
    </w:rPr>
  </w:style>
  <w:style w:type="table" w:styleId="10">
    <w:name w:val="Table Grid"/>
    <w:basedOn w:val="9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rFonts w:cs="Times New Roman"/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unhideWhenUsed/>
    <w:uiPriority w:val="99"/>
    <w:rPr>
      <w:color w:val="0000FF"/>
      <w:u w:val="single"/>
    </w:rPr>
  </w:style>
  <w:style w:type="character" w:styleId="15">
    <w:name w:val="annotation reference"/>
    <w:semiHidden/>
    <w:qFormat/>
    <w:uiPriority w:val="0"/>
    <w:rPr>
      <w:sz w:val="21"/>
      <w:szCs w:val="21"/>
    </w:rPr>
  </w:style>
  <w:style w:type="character" w:customStyle="1" w:styleId="16">
    <w:name w:val="页脚 字符"/>
    <w:link w:val="5"/>
    <w:qFormat/>
    <w:uiPriority w:val="99"/>
    <w:rPr>
      <w:kern w:val="2"/>
      <w:sz w:val="18"/>
      <w:szCs w:val="18"/>
    </w:rPr>
  </w:style>
  <w:style w:type="character" w:customStyle="1" w:styleId="17">
    <w:name w:val="页眉 字符"/>
    <w:link w:val="6"/>
    <w:semiHidden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4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link w:val="2"/>
    <w:semiHidden/>
    <w:qFormat/>
    <w:locked/>
    <w:uiPriority w:val="0"/>
    <w:rPr>
      <w:rFonts w:ascii="Tahoma" w:hAnsi="Tahoma"/>
      <w:lang w:bidi="ar-SA"/>
    </w:rPr>
  </w:style>
  <w:style w:type="character" w:customStyle="1" w:styleId="20">
    <w:name w:val="正文文本 字符"/>
    <w:link w:val="3"/>
    <w:qFormat/>
    <w:locked/>
    <w:uiPriority w:val="0"/>
    <w:rPr>
      <w:rFonts w:ascii="宋体" w:hAnsi="宋体" w:eastAsia="宋体"/>
      <w:lang w:eastAsia="en-US" w:bidi="ar-SA"/>
    </w:rPr>
  </w:style>
  <w:style w:type="character" w:customStyle="1" w:styleId="21">
    <w:name w:val="批注主题 字符"/>
    <w:link w:val="8"/>
    <w:semiHidden/>
    <w:qFormat/>
    <w:locked/>
    <w:uiPriority w:val="0"/>
    <w:rPr>
      <w:rFonts w:eastAsia="宋体"/>
      <w:b/>
      <w:bCs/>
      <w:kern w:val="2"/>
      <w:lang w:bidi="ar-SA"/>
    </w:rPr>
  </w:style>
  <w:style w:type="paragraph" w:customStyle="1" w:styleId="22">
    <w:name w:val="列出段落11"/>
    <w:basedOn w:val="1"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3">
    <w:name w:val="列表段落1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/>
      <w:kern w:val="0"/>
      <w:sz w:val="22"/>
    </w:rPr>
  </w:style>
  <w:style w:type="paragraph" w:customStyle="1" w:styleId="24">
    <w:name w:val="列出段落12"/>
    <w:basedOn w:val="1"/>
    <w:qFormat/>
    <w:uiPriority w:val="0"/>
    <w:pPr>
      <w:ind w:firstLine="420" w:firstLineChars="200"/>
    </w:pPr>
    <w:rPr>
      <w:rFonts w:ascii="Times New Roman" w:hAnsi="Times New Roman" w:cs="Calibri"/>
      <w:szCs w:val="21"/>
    </w:rPr>
  </w:style>
  <w:style w:type="paragraph" w:customStyle="1" w:styleId="25">
    <w:name w:val="List Paragraph1"/>
    <w:basedOn w:val="1"/>
    <w:qFormat/>
    <w:uiPriority w:val="0"/>
    <w:pPr>
      <w:ind w:firstLine="420" w:firstLineChars="200"/>
    </w:pPr>
    <w:rPr>
      <w:rFonts w:ascii="Times New Roman" w:hAns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1059</Words>
  <Characters>6037</Characters>
  <Lines>50</Lines>
  <Paragraphs>14</Paragraphs>
  <TotalTime>450</TotalTime>
  <ScaleCrop>false</ScaleCrop>
  <LinksUpToDate>false</LinksUpToDate>
  <CharactersWithSpaces>7082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2020-08-05T05:01:00Z</dcterms:created>
  <dc:creator>ry</dc:creator>
  <cp:lastModifiedBy>陈弘扬</cp:lastModifiedBy>
  <cp:lastPrinted>2020-06-08T03:40:00Z</cp:lastPrinted>
  <dcterms:modified xsi:type="dcterms:W3CDTF">2020-09-03T02:02:39Z</dcterms:modified>
  <dc:title>关于《福建省装配式建筑评价管理（试行）</dc:title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