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563D6" w14:textId="7DEE25C6" w:rsidR="001E7EF4" w:rsidRPr="00496103" w:rsidRDefault="0065227A" w:rsidP="00496103">
      <w:pPr>
        <w:spacing w:line="400" w:lineRule="exact"/>
        <w:jc w:val="center"/>
        <w:rPr>
          <w:rFonts w:ascii="黑体" w:eastAsia="黑体" w:hAnsi="黑体"/>
          <w:bCs/>
          <w:color w:val="000000" w:themeColor="text1"/>
          <w:sz w:val="32"/>
          <w:szCs w:val="32"/>
        </w:rPr>
      </w:pPr>
      <w:r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“</w:t>
      </w:r>
      <w:r w:rsidR="0043315B"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玖序公馆</w:t>
      </w:r>
      <w:r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”项目</w:t>
      </w:r>
      <w:r w:rsidR="002418B9"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1号楼、</w:t>
      </w:r>
      <w:r w:rsidR="0043315B" w:rsidRPr="00496103">
        <w:rPr>
          <w:rFonts w:ascii="黑体" w:eastAsia="黑体" w:hAnsi="黑体"/>
          <w:bCs/>
          <w:color w:val="000000" w:themeColor="text1"/>
          <w:sz w:val="32"/>
          <w:szCs w:val="32"/>
        </w:rPr>
        <w:t>3</w:t>
      </w:r>
      <w:r w:rsidR="002418B9"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号楼、</w:t>
      </w:r>
      <w:r w:rsidR="0043315B" w:rsidRPr="00496103">
        <w:rPr>
          <w:rFonts w:ascii="黑体" w:eastAsia="黑体" w:hAnsi="黑体"/>
          <w:bCs/>
          <w:color w:val="000000" w:themeColor="text1"/>
          <w:sz w:val="32"/>
          <w:szCs w:val="32"/>
        </w:rPr>
        <w:t>5</w:t>
      </w:r>
      <w:r w:rsidR="002418B9"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号楼、</w:t>
      </w:r>
      <w:r w:rsidR="0043315B" w:rsidRPr="00496103">
        <w:rPr>
          <w:rFonts w:ascii="黑体" w:eastAsia="黑体" w:hAnsi="黑体"/>
          <w:bCs/>
          <w:color w:val="000000" w:themeColor="text1"/>
          <w:sz w:val="32"/>
          <w:szCs w:val="32"/>
        </w:rPr>
        <w:t>11</w:t>
      </w:r>
      <w:r w:rsidR="002418B9"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号楼、</w:t>
      </w:r>
      <w:r w:rsidR="0043315B" w:rsidRPr="00496103">
        <w:rPr>
          <w:rFonts w:ascii="黑体" w:eastAsia="黑体" w:hAnsi="黑体"/>
          <w:bCs/>
          <w:color w:val="000000" w:themeColor="text1"/>
          <w:sz w:val="32"/>
          <w:szCs w:val="32"/>
        </w:rPr>
        <w:t>12</w:t>
      </w:r>
      <w:r w:rsidR="002418B9"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号楼</w:t>
      </w:r>
      <w:r w:rsidR="0043315B"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、1</w:t>
      </w:r>
      <w:r w:rsidR="0043315B" w:rsidRPr="00496103">
        <w:rPr>
          <w:rFonts w:ascii="黑体" w:eastAsia="黑体" w:hAnsi="黑体"/>
          <w:bCs/>
          <w:color w:val="000000" w:themeColor="text1"/>
          <w:sz w:val="32"/>
          <w:szCs w:val="32"/>
        </w:rPr>
        <w:t>3</w:t>
      </w:r>
      <w:r w:rsidR="0043315B"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号楼</w:t>
      </w:r>
      <w:r w:rsidRPr="00496103">
        <w:rPr>
          <w:rFonts w:ascii="黑体" w:eastAsia="黑体" w:hAnsi="黑体" w:hint="eastAsia"/>
          <w:bCs/>
          <w:color w:val="000000" w:themeColor="text1"/>
          <w:sz w:val="32"/>
          <w:szCs w:val="32"/>
        </w:rPr>
        <w:t>工业化建筑设计阶段认定专家论证意见</w:t>
      </w:r>
    </w:p>
    <w:p w14:paraId="53940FD6" w14:textId="6B90D9A1" w:rsidR="001E7EF4" w:rsidRDefault="0065227A">
      <w:pPr>
        <w:snapToGrid w:val="0"/>
        <w:spacing w:line="490" w:lineRule="exac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2</w:t>
      </w:r>
      <w:r>
        <w:rPr>
          <w:rFonts w:ascii="仿宋_GB2312" w:hAnsi="宋体"/>
          <w:bCs/>
          <w:color w:val="000000" w:themeColor="text1"/>
          <w:sz w:val="28"/>
          <w:szCs w:val="28"/>
        </w:rPr>
        <w:t>020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年</w:t>
      </w:r>
      <w:r>
        <w:rPr>
          <w:rFonts w:ascii="仿宋_GB2312" w:hAnsi="宋体"/>
          <w:bCs/>
          <w:color w:val="000000" w:themeColor="text1"/>
          <w:sz w:val="28"/>
          <w:szCs w:val="28"/>
        </w:rPr>
        <w:t>0</w:t>
      </w:r>
      <w:r w:rsidR="002418B9">
        <w:rPr>
          <w:rFonts w:ascii="仿宋_GB2312" w:hAnsi="宋体"/>
          <w:bCs/>
          <w:color w:val="000000" w:themeColor="text1"/>
          <w:sz w:val="28"/>
          <w:szCs w:val="28"/>
        </w:rPr>
        <w:t>9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月</w:t>
      </w:r>
      <w:r w:rsidR="002418B9">
        <w:rPr>
          <w:rFonts w:ascii="仿宋_GB2312" w:hAnsi="宋体"/>
          <w:bCs/>
          <w:color w:val="000000" w:themeColor="text1"/>
          <w:sz w:val="28"/>
          <w:szCs w:val="28"/>
        </w:rPr>
        <w:t>15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日，</w:t>
      </w:r>
      <w:r w:rsidR="0043315B" w:rsidRPr="0043315B">
        <w:rPr>
          <w:rFonts w:ascii="仿宋_GB2312" w:hAnsi="宋体" w:hint="eastAsia"/>
          <w:bCs/>
          <w:color w:val="000000" w:themeColor="text1"/>
          <w:sz w:val="28"/>
          <w:szCs w:val="28"/>
        </w:rPr>
        <w:t>福州元顺房地产开发有限公司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在福州市组织召开“</w:t>
      </w:r>
      <w:r w:rsidR="0043315B" w:rsidRPr="0043315B">
        <w:rPr>
          <w:rFonts w:ascii="仿宋_GB2312" w:hAnsi="宋体" w:hint="eastAsia"/>
          <w:bCs/>
          <w:color w:val="000000" w:themeColor="text1"/>
          <w:sz w:val="28"/>
          <w:szCs w:val="28"/>
        </w:rPr>
        <w:t>玖序公馆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”项目</w:t>
      </w:r>
      <w:r w:rsidR="002418B9">
        <w:rPr>
          <w:rFonts w:ascii="仿宋_GB2312" w:hAnsi="宋体"/>
          <w:bCs/>
          <w:color w:val="000000" w:themeColor="text1"/>
          <w:sz w:val="28"/>
          <w:szCs w:val="28"/>
        </w:rPr>
        <w:t>1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43315B">
        <w:rPr>
          <w:rFonts w:ascii="仿宋_GB2312" w:hAnsi="宋体"/>
          <w:bCs/>
          <w:color w:val="000000" w:themeColor="text1"/>
          <w:sz w:val="28"/>
          <w:szCs w:val="28"/>
        </w:rPr>
        <w:t>3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43315B">
        <w:rPr>
          <w:rFonts w:ascii="仿宋_GB2312" w:hAnsi="宋体"/>
          <w:bCs/>
          <w:color w:val="000000" w:themeColor="text1"/>
          <w:sz w:val="28"/>
          <w:szCs w:val="28"/>
        </w:rPr>
        <w:t>5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43315B">
        <w:rPr>
          <w:rFonts w:ascii="仿宋_GB2312" w:hAnsi="宋体"/>
          <w:bCs/>
          <w:color w:val="000000" w:themeColor="text1"/>
          <w:sz w:val="28"/>
          <w:szCs w:val="28"/>
        </w:rPr>
        <w:t>11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43315B">
        <w:rPr>
          <w:rFonts w:ascii="仿宋_GB2312" w:hAnsi="宋体"/>
          <w:bCs/>
          <w:color w:val="000000" w:themeColor="text1"/>
          <w:sz w:val="28"/>
          <w:szCs w:val="28"/>
        </w:rPr>
        <w:t>12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号楼</w:t>
      </w:r>
      <w:r w:rsidR="0043315B">
        <w:rPr>
          <w:rFonts w:ascii="仿宋_GB2312" w:hAnsi="宋体" w:hint="eastAsia"/>
          <w:bCs/>
          <w:color w:val="000000" w:themeColor="text1"/>
          <w:sz w:val="28"/>
          <w:szCs w:val="28"/>
        </w:rPr>
        <w:t>、</w:t>
      </w:r>
      <w:r w:rsidR="0043315B">
        <w:rPr>
          <w:rFonts w:ascii="仿宋_GB2312" w:hAnsi="宋体"/>
          <w:bCs/>
          <w:color w:val="000000" w:themeColor="text1"/>
          <w:sz w:val="28"/>
          <w:szCs w:val="28"/>
        </w:rPr>
        <w:t>13</w:t>
      </w:r>
      <w:r w:rsidR="0043315B">
        <w:rPr>
          <w:rFonts w:ascii="仿宋_GB2312" w:hAnsi="宋体" w:hint="eastAsia"/>
          <w:bCs/>
          <w:color w:val="000000" w:themeColor="text1"/>
          <w:sz w:val="28"/>
          <w:szCs w:val="28"/>
        </w:rPr>
        <w:t>号楼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工业化建筑设计阶段认定专家论证会，会议由</w:t>
      </w:r>
      <w:r w:rsidR="0043315B" w:rsidRPr="0043315B">
        <w:rPr>
          <w:rFonts w:ascii="仿宋_GB2312" w:hAnsi="宋体" w:hint="eastAsia"/>
          <w:bCs/>
          <w:color w:val="000000" w:themeColor="text1"/>
          <w:sz w:val="28"/>
          <w:szCs w:val="28"/>
        </w:rPr>
        <w:t>福州元顺房地产开发有限公司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主持，设计单位、施工图审查单位、评审专家参加了会议。</w:t>
      </w:r>
    </w:p>
    <w:p w14:paraId="723071C3" w14:textId="66365301" w:rsidR="001E7EF4" w:rsidRDefault="0065227A">
      <w:pPr>
        <w:snapToGrid w:val="0"/>
        <w:spacing w:line="490" w:lineRule="exact"/>
        <w:ind w:firstLineChars="200" w:firstLine="560"/>
        <w:rPr>
          <w:rFonts w:ascii="仿宋_GB2312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工程基本简况如下：本项目位于福州市</w:t>
      </w:r>
      <w:r w:rsidR="002418B9">
        <w:rPr>
          <w:rFonts w:asciiTheme="minorHAnsi" w:hAnsiTheme="minorHAnsi" w:hint="eastAsia"/>
          <w:bCs/>
          <w:color w:val="000000" w:themeColor="text1"/>
          <w:sz w:val="28"/>
          <w:szCs w:val="28"/>
        </w:rPr>
        <w:t>仓山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区。拟建</w:t>
      </w:r>
      <w:r w:rsidR="0043315B" w:rsidRPr="0043315B">
        <w:rPr>
          <w:rFonts w:ascii="仿宋_GB2312" w:hAnsi="宋体" w:hint="eastAsia"/>
          <w:bCs/>
          <w:color w:val="000000" w:themeColor="text1"/>
          <w:sz w:val="28"/>
          <w:szCs w:val="28"/>
        </w:rPr>
        <w:t>12栋高层住宅、5栋单层配套用房、6栋多层商业服务网点和1栋历史建筑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，总建筑面积为</w:t>
      </w:r>
      <w:r w:rsidR="0043315B" w:rsidRPr="0043315B">
        <w:rPr>
          <w:rFonts w:ascii="仿宋_GB2312" w:hAnsi="宋体"/>
          <w:bCs/>
          <w:color w:val="000000" w:themeColor="text1"/>
          <w:sz w:val="28"/>
          <w:szCs w:val="28"/>
        </w:rPr>
        <w:t>198695.45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平方米，计入容积率的建筑面积为</w:t>
      </w:r>
      <w:r w:rsidR="0043315B" w:rsidRPr="0043315B">
        <w:rPr>
          <w:rFonts w:ascii="仿宋_GB2312" w:hAnsi="宋体"/>
          <w:bCs/>
          <w:color w:val="000000" w:themeColor="text1"/>
          <w:sz w:val="28"/>
          <w:szCs w:val="28"/>
        </w:rPr>
        <w:t>153334.98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平方米，地上建筑面积</w:t>
      </w:r>
      <w:r w:rsidR="0043315B" w:rsidRPr="0043315B">
        <w:rPr>
          <w:rFonts w:ascii="仿宋_GB2312" w:hAnsi="宋体"/>
          <w:bCs/>
          <w:color w:val="000000" w:themeColor="text1"/>
          <w:sz w:val="28"/>
          <w:szCs w:val="28"/>
        </w:rPr>
        <w:t>152949.67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平方米，本项目为单层地下室，地下建筑面积为</w:t>
      </w:r>
      <w:r w:rsidR="0043315B" w:rsidRPr="0043315B">
        <w:rPr>
          <w:rFonts w:ascii="仿宋_GB2312" w:hAnsi="宋体"/>
          <w:bCs/>
          <w:color w:val="000000" w:themeColor="text1"/>
          <w:sz w:val="28"/>
          <w:szCs w:val="28"/>
        </w:rPr>
        <w:t>45745.78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平方米。装配式楼栋的计容建筑面积为</w:t>
      </w:r>
      <w:r w:rsidR="0043315B" w:rsidRPr="0043315B">
        <w:rPr>
          <w:rFonts w:ascii="仿宋_GB2312" w:hAnsi="宋体"/>
          <w:bCs/>
          <w:color w:val="000000" w:themeColor="text1"/>
          <w:sz w:val="28"/>
          <w:szCs w:val="28"/>
        </w:rPr>
        <w:t>77774.16/153334.98=50.72%&gt;50%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，满足福州市人民政府文件</w:t>
      </w:r>
      <w:proofErr w:type="gramStart"/>
      <w:r>
        <w:rPr>
          <w:rFonts w:ascii="仿宋_GB2312" w:hAnsi="宋体" w:hint="eastAsia"/>
          <w:bCs/>
          <w:color w:val="000000" w:themeColor="text1"/>
          <w:sz w:val="28"/>
          <w:szCs w:val="28"/>
        </w:rPr>
        <w:t>榕</w:t>
      </w:r>
      <w:proofErr w:type="gramEnd"/>
      <w:r>
        <w:rPr>
          <w:rFonts w:ascii="仿宋_GB2312" w:hAnsi="宋体" w:hint="eastAsia"/>
          <w:bCs/>
          <w:color w:val="000000" w:themeColor="text1"/>
          <w:sz w:val="28"/>
          <w:szCs w:val="28"/>
        </w:rPr>
        <w:t>政综〔2017〕1164号的相关规定要求。</w:t>
      </w:r>
    </w:p>
    <w:p w14:paraId="47892AB1" w14:textId="77777777" w:rsidR="001E7EF4" w:rsidRDefault="0065227A">
      <w:pPr>
        <w:spacing w:line="490" w:lineRule="exact"/>
        <w:ind w:firstLineChars="200" w:firstLine="560"/>
        <w:jc w:val="left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各单体预制装配内容及装配率详下表：</w:t>
      </w:r>
    </w:p>
    <w:tbl>
      <w:tblPr>
        <w:tblW w:w="4784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4"/>
        <w:gridCol w:w="1966"/>
        <w:gridCol w:w="723"/>
        <w:gridCol w:w="725"/>
        <w:gridCol w:w="709"/>
        <w:gridCol w:w="851"/>
        <w:gridCol w:w="850"/>
        <w:gridCol w:w="850"/>
      </w:tblGrid>
      <w:tr w:rsidR="007B614F" w:rsidRPr="002418B9" w14:paraId="21F8B24D" w14:textId="14FFAE54" w:rsidTr="00595BA0">
        <w:trPr>
          <w:trHeight w:val="340"/>
          <w:jc w:val="center"/>
        </w:trPr>
        <w:tc>
          <w:tcPr>
            <w:tcW w:w="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8702A" w14:textId="77777777" w:rsidR="00A87F20" w:rsidRDefault="00A87F20" w:rsidP="00A87F20">
            <w:pPr>
              <w:spacing w:line="490" w:lineRule="exact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2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63ABBC" w14:textId="77777777" w:rsidR="00A87F20" w:rsidRDefault="00A87F20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评价项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A9FD29" w14:textId="033D2069" w:rsidR="00A87F20" w:rsidRDefault="00A87F20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号楼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1F36C" w14:textId="398B2D2F" w:rsidR="00A87F20" w:rsidRDefault="00A87F20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号楼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454DE" w14:textId="68257BA4" w:rsidR="00A87F20" w:rsidRDefault="00A87F20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5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号楼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9AAA2" w14:textId="3FF71A50" w:rsidR="00A87F20" w:rsidRDefault="00A87F20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11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号楼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CF38B" w14:textId="54C7EA63" w:rsidR="00A87F20" w:rsidRDefault="00A87F20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1</w:t>
            </w:r>
            <w:r w:rsidR="007B614F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号楼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CF78A6" w14:textId="4EA240DF" w:rsidR="00A87F20" w:rsidRDefault="00A87F20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1</w:t>
            </w:r>
            <w:r w:rsidR="007B614F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号楼</w:t>
            </w:r>
          </w:p>
        </w:tc>
      </w:tr>
      <w:tr w:rsidR="00182E15" w:rsidRPr="002418B9" w14:paraId="39C9FB7A" w14:textId="4554519F" w:rsidTr="00595BA0">
        <w:trPr>
          <w:cantSplit/>
          <w:trHeight w:val="340"/>
          <w:jc w:val="center"/>
        </w:trPr>
        <w:tc>
          <w:tcPr>
            <w:tcW w:w="79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5A3C7E1" w14:textId="7BBB6614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主体结构</w:t>
            </w:r>
          </w:p>
        </w:tc>
        <w:tc>
          <w:tcPr>
            <w:tcW w:w="12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37F05D" w14:textId="7FE47B18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装配式模板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33436" w14:textId="421B1B97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6E005" w14:textId="24FE3D1C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0D08F2" w14:textId="487B1910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CD952" w14:textId="357D5600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2D5FE" w14:textId="4752F050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C0805" w14:textId="5D4E5B50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</w:p>
        </w:tc>
      </w:tr>
      <w:tr w:rsidR="00182E15" w:rsidRPr="002418B9" w14:paraId="214B4BF8" w14:textId="045C77B2" w:rsidTr="00595BA0">
        <w:trPr>
          <w:cantSplit/>
          <w:trHeight w:val="340"/>
          <w:jc w:val="center"/>
        </w:trPr>
        <w:tc>
          <w:tcPr>
            <w:tcW w:w="791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CDCEBCB" w14:textId="1255AC30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2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262C49C" w14:textId="28E46C33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预制叠合板、预制楼梯、预制挑板、预制盖板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BD70A" w14:textId="1BC6AABC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25.3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E59B6E" w14:textId="79B7412D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25.9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8D474" w14:textId="28C178BE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25.5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0F27D" w14:textId="1ACA9549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25.5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483FF" w14:textId="746636C2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26.4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688CE7" w14:textId="68DA1FC4" w:rsidR="00182E15" w:rsidRDefault="00182E15" w:rsidP="00A87F20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26.4</w:t>
            </w:r>
          </w:p>
        </w:tc>
      </w:tr>
      <w:tr w:rsidR="00182E15" w:rsidRPr="002418B9" w14:paraId="3D3B2A48" w14:textId="77777777" w:rsidTr="00595BA0">
        <w:trPr>
          <w:cantSplit/>
          <w:trHeight w:val="340"/>
          <w:jc w:val="center"/>
        </w:trPr>
        <w:tc>
          <w:tcPr>
            <w:tcW w:w="791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855FD6C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2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8082D" w14:textId="03D9110A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装配式建筑设计标准化、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模数化</w:t>
            </w:r>
            <w:proofErr w:type="gramEnd"/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E8E6C" w14:textId="396F7025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FAAA8B" w14:textId="2C5A6F7F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D39CA" w14:textId="17FC3376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EC310" w14:textId="414F078B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E1DFF" w14:textId="0FE1298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189AB" w14:textId="4C02E534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0</w:t>
            </w:r>
          </w:p>
        </w:tc>
      </w:tr>
      <w:tr w:rsidR="00182E15" w:rsidRPr="002418B9" w14:paraId="3D42E2C8" w14:textId="77777777" w:rsidTr="00595BA0">
        <w:trPr>
          <w:cantSplit/>
          <w:trHeight w:val="340"/>
          <w:jc w:val="center"/>
        </w:trPr>
        <w:tc>
          <w:tcPr>
            <w:tcW w:w="791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B87AF94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2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7AA0B" w14:textId="0E20642A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部品部件通用化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32357" w14:textId="78AE6AF1" w:rsidR="00182E15" w:rsidRDefault="009609E9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F950D" w14:textId="4F333C10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25E267" w14:textId="40CB7AA6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6B3242" w14:textId="592D0579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3C13B" w14:textId="2F37E4A0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4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8B133" w14:textId="0E4A96A9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4</w:t>
            </w:r>
          </w:p>
        </w:tc>
      </w:tr>
      <w:tr w:rsidR="00182E15" w:rsidRPr="002418B9" w14:paraId="04B7D4D4" w14:textId="0CB45D1D" w:rsidTr="00595BA0">
        <w:trPr>
          <w:trHeight w:val="340"/>
          <w:jc w:val="center"/>
        </w:trPr>
        <w:tc>
          <w:tcPr>
            <w:tcW w:w="7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C68EF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lastRenderedPageBreak/>
              <w:t>围护墙和内隔墙</w:t>
            </w:r>
          </w:p>
        </w:tc>
        <w:tc>
          <w:tcPr>
            <w:tcW w:w="12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42664D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内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隔墙非</w:t>
            </w:r>
            <w:proofErr w:type="gramEnd"/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砌筑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1BD664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C9776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B819A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33C33F" w14:textId="7C2E411F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2EA63F" w14:textId="3F528A4B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4D169" w14:textId="7CB6C57E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10</w:t>
            </w:r>
          </w:p>
        </w:tc>
      </w:tr>
      <w:tr w:rsidR="00182E15" w:rsidRPr="002418B9" w14:paraId="4E1AAAFE" w14:textId="77777777" w:rsidTr="007B614F">
        <w:trPr>
          <w:trHeight w:val="340"/>
          <w:jc w:val="center"/>
        </w:trPr>
        <w:tc>
          <w:tcPr>
            <w:tcW w:w="203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F4C32" w14:textId="2015FA48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装修和设备管线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7ACC72" w14:textId="2A93C830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01E051" w14:textId="0273A053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77863" w14:textId="28DA3D30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A25CA3" w14:textId="2FA3ED1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8978F" w14:textId="3ECB5409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0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B0139" w14:textId="1963BE74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0</w:t>
            </w:r>
          </w:p>
        </w:tc>
      </w:tr>
      <w:tr w:rsidR="00182E15" w:rsidRPr="002418B9" w14:paraId="6138D062" w14:textId="4AF3A127" w:rsidTr="00595BA0">
        <w:trPr>
          <w:trHeight w:val="340"/>
          <w:jc w:val="center"/>
        </w:trPr>
        <w:tc>
          <w:tcPr>
            <w:tcW w:w="79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F63FAB0" w14:textId="65B1D1EE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 w:rsidRPr="00595BA0"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技术创新</w:t>
            </w:r>
          </w:p>
        </w:tc>
        <w:tc>
          <w:tcPr>
            <w:tcW w:w="12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95246D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设计阶段BIM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83CD27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20158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A854E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98EB33" w14:textId="3F67F64F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BA6BB2" w14:textId="5494A380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7A355F" w14:textId="5678AF81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</w:tr>
      <w:tr w:rsidR="00182E15" w:rsidRPr="002418B9" w14:paraId="71EBC62B" w14:textId="0E5E8669" w:rsidTr="00595BA0">
        <w:trPr>
          <w:trHeight w:val="340"/>
          <w:jc w:val="center"/>
        </w:trPr>
        <w:tc>
          <w:tcPr>
            <w:tcW w:w="791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B9F31A4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2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5404BF4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施工阶段BIM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5344D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044723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9E966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E64AA" w14:textId="2E04F200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970E3" w14:textId="65514422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571839" w14:textId="6EF1DEC6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3</w:t>
            </w:r>
          </w:p>
        </w:tc>
      </w:tr>
      <w:tr w:rsidR="00182E15" w:rsidRPr="002418B9" w14:paraId="01A2A32C" w14:textId="374937BF" w:rsidTr="00595BA0">
        <w:trPr>
          <w:trHeight w:val="340"/>
          <w:jc w:val="center"/>
        </w:trPr>
        <w:tc>
          <w:tcPr>
            <w:tcW w:w="791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D1E50D6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</w:p>
        </w:tc>
        <w:tc>
          <w:tcPr>
            <w:tcW w:w="12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100D45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可追溯系统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593EE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8E767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2415F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1717F" w14:textId="2A300818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B9761" w14:textId="79AFB5FF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EC6997" w14:textId="4FFC35E2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2</w:t>
            </w:r>
          </w:p>
        </w:tc>
      </w:tr>
      <w:tr w:rsidR="00182E15" w:rsidRPr="002418B9" w14:paraId="1B1E1FCB" w14:textId="1E9B791C" w:rsidTr="007B614F">
        <w:trPr>
          <w:trHeight w:val="340"/>
          <w:jc w:val="center"/>
        </w:trPr>
        <w:tc>
          <w:tcPr>
            <w:tcW w:w="203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3DD0E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总计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39723" w14:textId="6234B8D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.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9D67C" w14:textId="7669A265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.9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61270" w14:textId="0FF50303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.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947C3" w14:textId="09A53B0B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.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5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16FC6" w14:textId="2331EE83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.4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1E3F0" w14:textId="5732F05C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.4</w:t>
            </w:r>
          </w:p>
        </w:tc>
      </w:tr>
      <w:tr w:rsidR="00182E15" w:rsidRPr="002418B9" w14:paraId="539AC773" w14:textId="0B1253F2" w:rsidTr="007B614F">
        <w:trPr>
          <w:trHeight w:val="340"/>
          <w:jc w:val="center"/>
        </w:trPr>
        <w:tc>
          <w:tcPr>
            <w:tcW w:w="203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65EB3" w14:textId="77777777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装配率（%）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254FD7" w14:textId="7D40F8D4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%</w:t>
            </w:r>
          </w:p>
        </w:tc>
        <w:tc>
          <w:tcPr>
            <w:tcW w:w="4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4D50D" w14:textId="75344C8E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%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E4DC9" w14:textId="5F5DDBDB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%</w:t>
            </w:r>
          </w:p>
        </w:tc>
        <w:tc>
          <w:tcPr>
            <w:tcW w:w="5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5C0DB2" w14:textId="54079A9F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%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4EB10" w14:textId="6583EBFA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%</w:t>
            </w:r>
          </w:p>
        </w:tc>
        <w:tc>
          <w:tcPr>
            <w:tcW w:w="53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B11A7" w14:textId="66DD8455" w:rsidR="00182E15" w:rsidRDefault="00182E15" w:rsidP="00182E15">
            <w:pPr>
              <w:spacing w:line="490" w:lineRule="exact"/>
              <w:jc w:val="center"/>
              <w:rPr>
                <w:rFonts w:ascii="仿宋" w:eastAsia="仿宋" w:hAnsi="仿宋" w:cs="仿宋"/>
                <w:bCs/>
                <w:color w:val="000000" w:themeColor="text1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5</w:t>
            </w:r>
            <w:r w:rsidR="009609E9">
              <w:rPr>
                <w:rFonts w:ascii="仿宋" w:eastAsia="仿宋" w:hAnsi="仿宋" w:cs="仿宋"/>
                <w:bCs/>
                <w:color w:val="000000" w:themeColor="text1"/>
                <w:sz w:val="24"/>
              </w:rPr>
              <w:t>3</w:t>
            </w:r>
            <w:r>
              <w:rPr>
                <w:rFonts w:ascii="仿宋" w:eastAsia="仿宋" w:hAnsi="仿宋" w:cs="仿宋" w:hint="eastAsia"/>
                <w:bCs/>
                <w:color w:val="000000" w:themeColor="text1"/>
                <w:sz w:val="24"/>
              </w:rPr>
              <w:t>%</w:t>
            </w:r>
          </w:p>
        </w:tc>
      </w:tr>
    </w:tbl>
    <w:p w14:paraId="73E25FCA" w14:textId="6D30A049" w:rsidR="001E7EF4" w:rsidRDefault="0065227A">
      <w:pPr>
        <w:spacing w:line="540" w:lineRule="exact"/>
        <w:ind w:firstLineChars="200" w:firstLine="560"/>
        <w:rPr>
          <w:rFonts w:ascii="仿宋_GB2312"/>
          <w:color w:val="000000" w:themeColor="text1"/>
          <w:sz w:val="24"/>
          <w:szCs w:val="22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本工程施工图设计文件已通过审图机构审查。审查机构：</w:t>
      </w:r>
      <w:r w:rsidR="006A0D0A">
        <w:rPr>
          <w:rFonts w:ascii="仿宋_GB2312" w:hint="eastAsia"/>
          <w:sz w:val="24"/>
          <w:szCs w:val="22"/>
        </w:rPr>
        <w:t>福建省建科院施工图审查有限公司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，合格证编号:</w:t>
      </w:r>
      <w:r>
        <w:t xml:space="preserve"> </w:t>
      </w:r>
      <w:r w:rsidR="00595BA0" w:rsidRPr="00595BA0">
        <w:rPr>
          <w:rFonts w:ascii="仿宋_GB2312" w:hAnsi="宋体"/>
          <w:bCs/>
          <w:color w:val="FF0000"/>
          <w:sz w:val="28"/>
          <w:szCs w:val="28"/>
        </w:rPr>
        <w:t>3501042003230101-TX-002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。</w:t>
      </w:r>
    </w:p>
    <w:p w14:paraId="4E81C07E" w14:textId="77777777" w:rsidR="001E7EF4" w:rsidRDefault="0065227A">
      <w:pPr>
        <w:spacing w:line="490" w:lineRule="exac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与会专家及相关职能部门领导听取了</w:t>
      </w:r>
      <w:proofErr w:type="gramStart"/>
      <w:r>
        <w:rPr>
          <w:rFonts w:ascii="仿宋_GB2312" w:hAnsi="宋体" w:hint="eastAsia"/>
          <w:bCs/>
          <w:color w:val="000000" w:themeColor="text1"/>
          <w:sz w:val="28"/>
          <w:szCs w:val="28"/>
        </w:rPr>
        <w:t>福建博宇建筑设计</w:t>
      </w:r>
      <w:proofErr w:type="gramEnd"/>
      <w:r>
        <w:rPr>
          <w:rFonts w:ascii="仿宋_GB2312" w:hAnsi="宋体" w:hint="eastAsia"/>
          <w:bCs/>
          <w:color w:val="000000" w:themeColor="text1"/>
          <w:sz w:val="28"/>
          <w:szCs w:val="28"/>
        </w:rPr>
        <w:t>有限公司及建设单位对本工程的介绍，经会议研究讨论，形成以下意见：</w:t>
      </w:r>
    </w:p>
    <w:p w14:paraId="62C28234" w14:textId="3E96E92E" w:rsidR="001E7EF4" w:rsidRDefault="0065227A">
      <w:pPr>
        <w:spacing w:line="490" w:lineRule="exac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(1) 本工程预制面积不小于总建筑面积计容部分的50%，装配式楼栋的装配率不小于</w:t>
      </w:r>
      <w:r>
        <w:rPr>
          <w:rFonts w:ascii="仿宋_GB2312" w:hAnsi="宋体"/>
          <w:bCs/>
          <w:color w:val="000000" w:themeColor="text1"/>
          <w:sz w:val="28"/>
          <w:szCs w:val="28"/>
        </w:rPr>
        <w:t>5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0%，满足福州市人民政府文件</w:t>
      </w:r>
      <w:proofErr w:type="gramStart"/>
      <w:r>
        <w:rPr>
          <w:rFonts w:ascii="仿宋_GB2312" w:hAnsi="宋体" w:hint="eastAsia"/>
          <w:bCs/>
          <w:color w:val="000000" w:themeColor="text1"/>
          <w:sz w:val="28"/>
          <w:szCs w:val="28"/>
        </w:rPr>
        <w:t>榕</w:t>
      </w:r>
      <w:proofErr w:type="gramEnd"/>
      <w:r>
        <w:rPr>
          <w:rFonts w:ascii="仿宋_GB2312" w:hAnsi="宋体" w:hint="eastAsia"/>
          <w:bCs/>
          <w:color w:val="000000" w:themeColor="text1"/>
          <w:sz w:val="28"/>
          <w:szCs w:val="28"/>
        </w:rPr>
        <w:t>政综〔2017〕1164号的相关规定。</w:t>
      </w:r>
    </w:p>
    <w:p w14:paraId="5B09FC53" w14:textId="6F01C343" w:rsidR="001E7EF4" w:rsidRDefault="0065227A">
      <w:pPr>
        <w:spacing w:line="490" w:lineRule="exact"/>
        <w:ind w:firstLineChars="200" w:firstLine="560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(2) 本工程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1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3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5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11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12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13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装配式</w:t>
      </w:r>
      <w:r w:rsidR="00014F9D">
        <w:rPr>
          <w:rFonts w:ascii="仿宋_GB2312" w:hAnsi="宋体" w:hint="eastAsia"/>
          <w:bCs/>
          <w:color w:val="000000" w:themeColor="text1"/>
          <w:sz w:val="28"/>
          <w:szCs w:val="28"/>
        </w:rPr>
        <w:t>建筑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设计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相关资料完整，其主体结构、围护墙和内隔墙、技术创新部分的分值均不低于最低分值要求，各单体建筑装配率均不低于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50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%，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符合《福建省装配式建筑评价管理办法（试行）》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（2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020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年2月版）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的相关规定，同意本工程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1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3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5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11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12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号楼、</w:t>
      </w:r>
      <w:r w:rsidR="00885760">
        <w:rPr>
          <w:rFonts w:ascii="仿宋_GB2312" w:hAnsi="宋体"/>
          <w:bCs/>
          <w:color w:val="000000" w:themeColor="text1"/>
          <w:sz w:val="28"/>
          <w:szCs w:val="28"/>
        </w:rPr>
        <w:t>13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号楼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设计阶段</w:t>
      </w:r>
      <w:r w:rsidR="00885760">
        <w:rPr>
          <w:rFonts w:ascii="仿宋_GB2312" w:hAnsi="宋体" w:hint="eastAsia"/>
          <w:bCs/>
          <w:color w:val="000000" w:themeColor="text1"/>
          <w:sz w:val="28"/>
          <w:szCs w:val="28"/>
        </w:rPr>
        <w:t>评价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为</w:t>
      </w:r>
      <w:r w:rsidR="00C32BC9">
        <w:rPr>
          <w:rFonts w:ascii="仿宋_GB2312" w:hAnsi="宋体" w:hint="eastAsia"/>
          <w:bCs/>
          <w:color w:val="000000" w:themeColor="text1"/>
          <w:sz w:val="28"/>
          <w:szCs w:val="28"/>
        </w:rPr>
        <w:t>装配式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建筑。</w:t>
      </w:r>
    </w:p>
    <w:p w14:paraId="78F3B82B" w14:textId="77777777" w:rsidR="001E7EF4" w:rsidRDefault="0065227A">
      <w:pPr>
        <w:spacing w:line="500" w:lineRule="exact"/>
        <w:rPr>
          <w:rFonts w:ascii="仿宋_GB2312" w:hAnsi="宋体"/>
          <w:bCs/>
          <w:color w:val="000000" w:themeColor="text1"/>
          <w:sz w:val="32"/>
          <w:szCs w:val="32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>专家名单：</w:t>
      </w:r>
      <w:r>
        <w:rPr>
          <w:rFonts w:ascii="仿宋_GB2312" w:hAnsi="宋体" w:hint="eastAsia"/>
          <w:bCs/>
          <w:color w:val="000000" w:themeColor="text1"/>
          <w:sz w:val="32"/>
          <w:szCs w:val="32"/>
        </w:rPr>
        <w:t xml:space="preserve">  </w:t>
      </w:r>
    </w:p>
    <w:p w14:paraId="2181009F" w14:textId="5E10FB7F" w:rsidR="00163DBC" w:rsidRPr="00163DBC" w:rsidRDefault="00163DBC" w:rsidP="00163DBC">
      <w:pPr>
        <w:widowControl/>
        <w:spacing w:line="500" w:lineRule="exact"/>
        <w:jc w:val="left"/>
        <w:rPr>
          <w:rFonts w:ascii="仿宋_GB2312" w:hAnsi="宋体"/>
          <w:bCs/>
          <w:color w:val="000000" w:themeColor="text1"/>
          <w:sz w:val="28"/>
          <w:szCs w:val="28"/>
        </w:rPr>
      </w:pPr>
      <w:bookmarkStart w:id="0" w:name="_Hlk37145059"/>
      <w:r w:rsidRPr="00163DBC"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福建省建筑工程技术中心          </w:t>
      </w:r>
      <w:proofErr w:type="gramStart"/>
      <w:r w:rsidRPr="00163DBC">
        <w:rPr>
          <w:rFonts w:ascii="仿宋_GB2312" w:hAnsi="宋体" w:hint="eastAsia"/>
          <w:bCs/>
          <w:color w:val="000000" w:themeColor="text1"/>
          <w:sz w:val="28"/>
          <w:szCs w:val="28"/>
        </w:rPr>
        <w:t>郑卫基</w:t>
      </w:r>
      <w:proofErr w:type="gramEnd"/>
      <w:r w:rsidRPr="00163DBC"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教授级高工</w:t>
      </w:r>
    </w:p>
    <w:p w14:paraId="79CA7EE8" w14:textId="0F757B63" w:rsidR="00E74B2C" w:rsidRPr="00496103" w:rsidRDefault="00163DBC" w:rsidP="00496103">
      <w:pPr>
        <w:widowControl/>
        <w:spacing w:line="500" w:lineRule="exact"/>
        <w:jc w:val="left"/>
        <w:rPr>
          <w:rFonts w:ascii="仿宋_GB2312" w:hAnsi="宋体"/>
          <w:bCs/>
          <w:color w:val="000000" w:themeColor="text1"/>
          <w:sz w:val="28"/>
          <w:szCs w:val="28"/>
        </w:rPr>
      </w:pPr>
      <w:r w:rsidRPr="00163DBC">
        <w:rPr>
          <w:rFonts w:ascii="仿宋_GB2312" w:hAnsi="宋体" w:hint="eastAsia"/>
          <w:bCs/>
          <w:color w:val="000000" w:themeColor="text1"/>
          <w:sz w:val="28"/>
          <w:szCs w:val="28"/>
        </w:rPr>
        <w:t>福州市建筑设计院</w:t>
      </w:r>
      <w:r w:rsidR="001A69F5">
        <w:rPr>
          <w:rFonts w:ascii="仿宋_GB2312" w:hAnsi="宋体" w:hint="eastAsia"/>
          <w:bCs/>
          <w:color w:val="000000" w:themeColor="text1"/>
          <w:sz w:val="28"/>
          <w:szCs w:val="28"/>
        </w:rPr>
        <w:t>有限</w:t>
      </w:r>
      <w:r w:rsidR="00714D4B">
        <w:rPr>
          <w:rFonts w:ascii="仿宋_GB2312" w:hAnsi="宋体" w:hint="eastAsia"/>
          <w:bCs/>
          <w:color w:val="000000" w:themeColor="text1"/>
          <w:sz w:val="28"/>
          <w:szCs w:val="28"/>
        </w:rPr>
        <w:t>责任</w:t>
      </w:r>
      <w:r w:rsidR="001A69F5">
        <w:rPr>
          <w:rFonts w:ascii="仿宋_GB2312" w:hAnsi="宋体" w:hint="eastAsia"/>
          <w:bCs/>
          <w:color w:val="000000" w:themeColor="text1"/>
          <w:sz w:val="28"/>
          <w:szCs w:val="28"/>
        </w:rPr>
        <w:t>公司</w:t>
      </w:r>
      <w:r w:rsidRPr="00163DBC"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 </w:t>
      </w:r>
      <w:proofErr w:type="gramStart"/>
      <w:r w:rsidRPr="00163DBC">
        <w:rPr>
          <w:rFonts w:ascii="仿宋_GB2312" w:hAnsi="宋体" w:hint="eastAsia"/>
          <w:bCs/>
          <w:color w:val="000000" w:themeColor="text1"/>
          <w:sz w:val="28"/>
          <w:szCs w:val="28"/>
        </w:rPr>
        <w:t>翁锦华</w:t>
      </w:r>
      <w:proofErr w:type="gramEnd"/>
      <w:r w:rsidRPr="00163DBC"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   教授级高工</w:t>
      </w:r>
    </w:p>
    <w:bookmarkEnd w:id="0"/>
    <w:p w14:paraId="4BF6417B" w14:textId="64EDB98C" w:rsidR="001E7EF4" w:rsidRDefault="0065227A">
      <w:pPr>
        <w:widowControl/>
        <w:spacing w:line="500" w:lineRule="exact"/>
        <w:jc w:val="left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28"/>
          <w:szCs w:val="28"/>
        </w:rPr>
        <w:t xml:space="preserve">福建经福建筑设计工程有限公司    石晓航   </w:t>
      </w:r>
      <w:r w:rsidR="003226C4">
        <w:rPr>
          <w:rFonts w:ascii="仿宋_GB2312" w:hAnsi="宋体" w:hint="eastAsia"/>
          <w:bCs/>
          <w:color w:val="000000" w:themeColor="text1"/>
          <w:sz w:val="28"/>
          <w:szCs w:val="28"/>
        </w:rPr>
        <w:t>高级</w:t>
      </w:r>
      <w:r>
        <w:rPr>
          <w:rFonts w:ascii="仿宋_GB2312" w:hAnsi="宋体" w:hint="eastAsia"/>
          <w:bCs/>
          <w:color w:val="000000" w:themeColor="text1"/>
          <w:sz w:val="28"/>
          <w:szCs w:val="28"/>
        </w:rPr>
        <w:t>工程师</w:t>
      </w:r>
    </w:p>
    <w:p w14:paraId="413AE479" w14:textId="6548E12F" w:rsidR="001E7EF4" w:rsidRDefault="0065227A" w:rsidP="00370F14">
      <w:pPr>
        <w:wordWrap w:val="0"/>
        <w:spacing w:line="560" w:lineRule="exact"/>
        <w:ind w:right="1120"/>
        <w:jc w:val="right"/>
        <w:rPr>
          <w:rFonts w:ascii="仿宋_GB2312" w:hAnsi="宋体"/>
          <w:bCs/>
          <w:color w:val="000000" w:themeColor="text1"/>
          <w:sz w:val="28"/>
          <w:szCs w:val="28"/>
        </w:rPr>
      </w:pPr>
      <w:r>
        <w:rPr>
          <w:rFonts w:ascii="仿宋_GB2312" w:hAnsi="宋体" w:hint="eastAsia"/>
          <w:bCs/>
          <w:color w:val="000000" w:themeColor="text1"/>
          <w:sz w:val="32"/>
          <w:szCs w:val="32"/>
        </w:rPr>
        <w:t>20</w:t>
      </w:r>
      <w:r>
        <w:rPr>
          <w:rFonts w:ascii="仿宋_GB2312" w:hAnsi="宋体"/>
          <w:bCs/>
          <w:color w:val="000000" w:themeColor="text1"/>
          <w:sz w:val="32"/>
          <w:szCs w:val="32"/>
        </w:rPr>
        <w:t>20</w:t>
      </w:r>
      <w:r>
        <w:rPr>
          <w:rFonts w:ascii="仿宋_GB2312" w:hAnsi="宋体" w:hint="eastAsia"/>
          <w:bCs/>
          <w:color w:val="000000" w:themeColor="text1"/>
          <w:sz w:val="32"/>
          <w:szCs w:val="32"/>
        </w:rPr>
        <w:t xml:space="preserve">年 </w:t>
      </w:r>
      <w:r>
        <w:rPr>
          <w:rFonts w:ascii="仿宋_GB2312" w:hAnsi="宋体"/>
          <w:bCs/>
          <w:color w:val="000000" w:themeColor="text1"/>
          <w:sz w:val="32"/>
          <w:szCs w:val="32"/>
        </w:rPr>
        <w:t>0</w:t>
      </w:r>
      <w:r w:rsidR="003A67F1">
        <w:rPr>
          <w:rFonts w:ascii="仿宋_GB2312" w:hAnsi="宋体"/>
          <w:bCs/>
          <w:color w:val="000000" w:themeColor="text1"/>
          <w:sz w:val="32"/>
          <w:szCs w:val="32"/>
        </w:rPr>
        <w:t>9</w:t>
      </w:r>
      <w:r>
        <w:rPr>
          <w:rFonts w:ascii="仿宋_GB2312" w:hAnsi="宋体" w:hint="eastAsia"/>
          <w:bCs/>
          <w:color w:val="000000" w:themeColor="text1"/>
          <w:sz w:val="32"/>
          <w:szCs w:val="32"/>
        </w:rPr>
        <w:t xml:space="preserve">月 </w:t>
      </w:r>
      <w:r w:rsidR="003A67F1">
        <w:rPr>
          <w:rFonts w:ascii="仿宋_GB2312" w:hAnsi="宋体"/>
          <w:bCs/>
          <w:color w:val="000000" w:themeColor="text1"/>
          <w:sz w:val="32"/>
          <w:szCs w:val="32"/>
        </w:rPr>
        <w:t>15</w:t>
      </w:r>
      <w:r>
        <w:rPr>
          <w:rFonts w:ascii="仿宋_GB2312" w:hAnsi="宋体" w:hint="eastAsia"/>
          <w:bCs/>
          <w:color w:val="000000" w:themeColor="text1"/>
          <w:sz w:val="32"/>
          <w:szCs w:val="32"/>
        </w:rPr>
        <w:t>日</w:t>
      </w:r>
    </w:p>
    <w:sectPr w:rsidR="001E7EF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34CBC" w14:textId="77777777" w:rsidR="005A2DA3" w:rsidRDefault="005A2DA3" w:rsidP="00E74B2C">
      <w:r>
        <w:separator/>
      </w:r>
    </w:p>
  </w:endnote>
  <w:endnote w:type="continuationSeparator" w:id="0">
    <w:p w14:paraId="65E0A714" w14:textId="77777777" w:rsidR="005A2DA3" w:rsidRDefault="005A2DA3" w:rsidP="00E74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2705A" w14:textId="77777777" w:rsidR="005A2DA3" w:rsidRDefault="005A2DA3" w:rsidP="00E74B2C">
      <w:r>
        <w:separator/>
      </w:r>
    </w:p>
  </w:footnote>
  <w:footnote w:type="continuationSeparator" w:id="0">
    <w:p w14:paraId="390000A9" w14:textId="77777777" w:rsidR="005A2DA3" w:rsidRDefault="005A2DA3" w:rsidP="00E74B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7A36D6"/>
    <w:multiLevelType w:val="multilevel"/>
    <w:tmpl w:val="447A36D6"/>
    <w:lvl w:ilvl="0">
      <w:start w:val="1"/>
      <w:numFmt w:val="decimal"/>
      <w:lvlText w:val="（%1）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F1"/>
    <w:rsid w:val="00001B22"/>
    <w:rsid w:val="00010964"/>
    <w:rsid w:val="00014F9D"/>
    <w:rsid w:val="00031127"/>
    <w:rsid w:val="0004477B"/>
    <w:rsid w:val="00046A04"/>
    <w:rsid w:val="00047EB2"/>
    <w:rsid w:val="0007069E"/>
    <w:rsid w:val="00077D10"/>
    <w:rsid w:val="000926B5"/>
    <w:rsid w:val="000D1E2F"/>
    <w:rsid w:val="000D4AAE"/>
    <w:rsid w:val="0010062D"/>
    <w:rsid w:val="00102AA7"/>
    <w:rsid w:val="001033B3"/>
    <w:rsid w:val="0010602A"/>
    <w:rsid w:val="00126E41"/>
    <w:rsid w:val="00132E0C"/>
    <w:rsid w:val="001358E1"/>
    <w:rsid w:val="0014787D"/>
    <w:rsid w:val="00163DBC"/>
    <w:rsid w:val="00165380"/>
    <w:rsid w:val="0017310D"/>
    <w:rsid w:val="00182E15"/>
    <w:rsid w:val="00183BD2"/>
    <w:rsid w:val="00194C1F"/>
    <w:rsid w:val="001A69F5"/>
    <w:rsid w:val="001C3C5E"/>
    <w:rsid w:val="001D5637"/>
    <w:rsid w:val="001E26E0"/>
    <w:rsid w:val="001E7EF4"/>
    <w:rsid w:val="001F36AF"/>
    <w:rsid w:val="001F6650"/>
    <w:rsid w:val="00201A39"/>
    <w:rsid w:val="00213391"/>
    <w:rsid w:val="002276C6"/>
    <w:rsid w:val="002418B9"/>
    <w:rsid w:val="002564A1"/>
    <w:rsid w:val="00256954"/>
    <w:rsid w:val="00266F67"/>
    <w:rsid w:val="0027394F"/>
    <w:rsid w:val="00275F6B"/>
    <w:rsid w:val="002F1876"/>
    <w:rsid w:val="002F3645"/>
    <w:rsid w:val="00313EDE"/>
    <w:rsid w:val="003209D8"/>
    <w:rsid w:val="003226C4"/>
    <w:rsid w:val="00336B4A"/>
    <w:rsid w:val="00370F14"/>
    <w:rsid w:val="00386DC6"/>
    <w:rsid w:val="00395FE2"/>
    <w:rsid w:val="003A075E"/>
    <w:rsid w:val="003A67F1"/>
    <w:rsid w:val="003B19E1"/>
    <w:rsid w:val="003C3DA3"/>
    <w:rsid w:val="003C5583"/>
    <w:rsid w:val="003F1080"/>
    <w:rsid w:val="003F29B4"/>
    <w:rsid w:val="00401717"/>
    <w:rsid w:val="00401DC9"/>
    <w:rsid w:val="00405489"/>
    <w:rsid w:val="004134B0"/>
    <w:rsid w:val="0042500C"/>
    <w:rsid w:val="0043315B"/>
    <w:rsid w:val="00452851"/>
    <w:rsid w:val="00454C02"/>
    <w:rsid w:val="00470502"/>
    <w:rsid w:val="00470F87"/>
    <w:rsid w:val="00472DE0"/>
    <w:rsid w:val="00473323"/>
    <w:rsid w:val="00496103"/>
    <w:rsid w:val="00497AC5"/>
    <w:rsid w:val="004B0A0F"/>
    <w:rsid w:val="004B319C"/>
    <w:rsid w:val="004C1189"/>
    <w:rsid w:val="004D662F"/>
    <w:rsid w:val="004E0F00"/>
    <w:rsid w:val="00501F00"/>
    <w:rsid w:val="00515EDB"/>
    <w:rsid w:val="00542F98"/>
    <w:rsid w:val="00552FBD"/>
    <w:rsid w:val="00566CC9"/>
    <w:rsid w:val="00570225"/>
    <w:rsid w:val="005933D1"/>
    <w:rsid w:val="00593FED"/>
    <w:rsid w:val="00595BA0"/>
    <w:rsid w:val="005A2DA3"/>
    <w:rsid w:val="005A4799"/>
    <w:rsid w:val="005B1F0A"/>
    <w:rsid w:val="005C24E9"/>
    <w:rsid w:val="005C70D8"/>
    <w:rsid w:val="005D20BF"/>
    <w:rsid w:val="005D5E31"/>
    <w:rsid w:val="005E4295"/>
    <w:rsid w:val="006207BF"/>
    <w:rsid w:val="00631A3C"/>
    <w:rsid w:val="00637807"/>
    <w:rsid w:val="0064431A"/>
    <w:rsid w:val="0065227A"/>
    <w:rsid w:val="00655515"/>
    <w:rsid w:val="006700FC"/>
    <w:rsid w:val="00672469"/>
    <w:rsid w:val="00683C5D"/>
    <w:rsid w:val="006917C5"/>
    <w:rsid w:val="0069432D"/>
    <w:rsid w:val="006A0D0A"/>
    <w:rsid w:val="006A2D8E"/>
    <w:rsid w:val="006B3BF2"/>
    <w:rsid w:val="006E5018"/>
    <w:rsid w:val="006E72C0"/>
    <w:rsid w:val="00714D4B"/>
    <w:rsid w:val="00716E46"/>
    <w:rsid w:val="00720B01"/>
    <w:rsid w:val="007244D2"/>
    <w:rsid w:val="00725480"/>
    <w:rsid w:val="00737193"/>
    <w:rsid w:val="0076048A"/>
    <w:rsid w:val="00764349"/>
    <w:rsid w:val="007667C3"/>
    <w:rsid w:val="007877E5"/>
    <w:rsid w:val="007913A3"/>
    <w:rsid w:val="007B001B"/>
    <w:rsid w:val="007B100A"/>
    <w:rsid w:val="007B3262"/>
    <w:rsid w:val="007B3F05"/>
    <w:rsid w:val="007B614F"/>
    <w:rsid w:val="007C0C62"/>
    <w:rsid w:val="007C41FD"/>
    <w:rsid w:val="007C5C37"/>
    <w:rsid w:val="007C5D22"/>
    <w:rsid w:val="007D542A"/>
    <w:rsid w:val="007F3ADF"/>
    <w:rsid w:val="007F43ED"/>
    <w:rsid w:val="007F7AD2"/>
    <w:rsid w:val="007F7F01"/>
    <w:rsid w:val="00835B9B"/>
    <w:rsid w:val="00835E6E"/>
    <w:rsid w:val="008453FD"/>
    <w:rsid w:val="00871BF4"/>
    <w:rsid w:val="00881ECF"/>
    <w:rsid w:val="00885760"/>
    <w:rsid w:val="00891C8E"/>
    <w:rsid w:val="00892760"/>
    <w:rsid w:val="008A5380"/>
    <w:rsid w:val="008C0A7F"/>
    <w:rsid w:val="008C6CDB"/>
    <w:rsid w:val="008D0CE4"/>
    <w:rsid w:val="008D34F1"/>
    <w:rsid w:val="008E68D6"/>
    <w:rsid w:val="008E7AA0"/>
    <w:rsid w:val="008F443E"/>
    <w:rsid w:val="008F4FA7"/>
    <w:rsid w:val="00902368"/>
    <w:rsid w:val="00951DA6"/>
    <w:rsid w:val="00954523"/>
    <w:rsid w:val="009609E9"/>
    <w:rsid w:val="009754CD"/>
    <w:rsid w:val="0097603E"/>
    <w:rsid w:val="00977FE9"/>
    <w:rsid w:val="00996017"/>
    <w:rsid w:val="009B0975"/>
    <w:rsid w:val="009B5AEA"/>
    <w:rsid w:val="009C1334"/>
    <w:rsid w:val="009D0729"/>
    <w:rsid w:val="009D74D2"/>
    <w:rsid w:val="009E3C0B"/>
    <w:rsid w:val="009F3F01"/>
    <w:rsid w:val="009F602B"/>
    <w:rsid w:val="00A06890"/>
    <w:rsid w:val="00A127BF"/>
    <w:rsid w:val="00A328CF"/>
    <w:rsid w:val="00A51CE5"/>
    <w:rsid w:val="00A57202"/>
    <w:rsid w:val="00A579A0"/>
    <w:rsid w:val="00A65FA3"/>
    <w:rsid w:val="00A87BC2"/>
    <w:rsid w:val="00A87F20"/>
    <w:rsid w:val="00A940B7"/>
    <w:rsid w:val="00AC2DF1"/>
    <w:rsid w:val="00AD17DC"/>
    <w:rsid w:val="00AF222E"/>
    <w:rsid w:val="00AF39F0"/>
    <w:rsid w:val="00B00E2C"/>
    <w:rsid w:val="00B14314"/>
    <w:rsid w:val="00B161FE"/>
    <w:rsid w:val="00B23714"/>
    <w:rsid w:val="00B331D6"/>
    <w:rsid w:val="00B37156"/>
    <w:rsid w:val="00B42233"/>
    <w:rsid w:val="00B46B58"/>
    <w:rsid w:val="00B55F79"/>
    <w:rsid w:val="00B61F59"/>
    <w:rsid w:val="00B667C5"/>
    <w:rsid w:val="00B67A7F"/>
    <w:rsid w:val="00B82041"/>
    <w:rsid w:val="00B97844"/>
    <w:rsid w:val="00BA5914"/>
    <w:rsid w:val="00BD3D08"/>
    <w:rsid w:val="00BE78A6"/>
    <w:rsid w:val="00BE7F9D"/>
    <w:rsid w:val="00BF7DEB"/>
    <w:rsid w:val="00C04DA3"/>
    <w:rsid w:val="00C06CF4"/>
    <w:rsid w:val="00C10669"/>
    <w:rsid w:val="00C11CF3"/>
    <w:rsid w:val="00C13A83"/>
    <w:rsid w:val="00C31A6B"/>
    <w:rsid w:val="00C32BC9"/>
    <w:rsid w:val="00C33332"/>
    <w:rsid w:val="00C5093B"/>
    <w:rsid w:val="00C518AD"/>
    <w:rsid w:val="00C643A8"/>
    <w:rsid w:val="00C65907"/>
    <w:rsid w:val="00C75967"/>
    <w:rsid w:val="00C9015F"/>
    <w:rsid w:val="00CA6D8C"/>
    <w:rsid w:val="00CB3DB3"/>
    <w:rsid w:val="00CD5E97"/>
    <w:rsid w:val="00CE1C0D"/>
    <w:rsid w:val="00CE47E1"/>
    <w:rsid w:val="00CF2E1A"/>
    <w:rsid w:val="00D0565A"/>
    <w:rsid w:val="00D12B36"/>
    <w:rsid w:val="00D206DF"/>
    <w:rsid w:val="00D21431"/>
    <w:rsid w:val="00D24725"/>
    <w:rsid w:val="00D8147B"/>
    <w:rsid w:val="00D81B07"/>
    <w:rsid w:val="00D863FF"/>
    <w:rsid w:val="00D9255A"/>
    <w:rsid w:val="00D94237"/>
    <w:rsid w:val="00D96FC0"/>
    <w:rsid w:val="00DA012F"/>
    <w:rsid w:val="00DC1D70"/>
    <w:rsid w:val="00DE02C7"/>
    <w:rsid w:val="00DE251E"/>
    <w:rsid w:val="00DF3095"/>
    <w:rsid w:val="00E3475D"/>
    <w:rsid w:val="00E42237"/>
    <w:rsid w:val="00E43326"/>
    <w:rsid w:val="00E53EAD"/>
    <w:rsid w:val="00E678F1"/>
    <w:rsid w:val="00E73862"/>
    <w:rsid w:val="00E74B2C"/>
    <w:rsid w:val="00E9304E"/>
    <w:rsid w:val="00E97743"/>
    <w:rsid w:val="00EA2F13"/>
    <w:rsid w:val="00EB3C07"/>
    <w:rsid w:val="00EC3F63"/>
    <w:rsid w:val="00EC740C"/>
    <w:rsid w:val="00EE00A5"/>
    <w:rsid w:val="00F06F3C"/>
    <w:rsid w:val="00F1702A"/>
    <w:rsid w:val="00F26D4E"/>
    <w:rsid w:val="00F411CB"/>
    <w:rsid w:val="00F506C3"/>
    <w:rsid w:val="00F52922"/>
    <w:rsid w:val="00F56423"/>
    <w:rsid w:val="00F57DBB"/>
    <w:rsid w:val="00F65F13"/>
    <w:rsid w:val="00F75491"/>
    <w:rsid w:val="00FA4649"/>
    <w:rsid w:val="00FB1BD1"/>
    <w:rsid w:val="00FC00F3"/>
    <w:rsid w:val="00FC5B5C"/>
    <w:rsid w:val="00FF57E2"/>
    <w:rsid w:val="00FF5CD4"/>
    <w:rsid w:val="02AD602F"/>
    <w:rsid w:val="02AF00B3"/>
    <w:rsid w:val="02CE7EAB"/>
    <w:rsid w:val="03151AC3"/>
    <w:rsid w:val="06B17687"/>
    <w:rsid w:val="0860640D"/>
    <w:rsid w:val="0BF36FF7"/>
    <w:rsid w:val="0C364933"/>
    <w:rsid w:val="0C540555"/>
    <w:rsid w:val="0D7350F2"/>
    <w:rsid w:val="0FEB62E3"/>
    <w:rsid w:val="10527066"/>
    <w:rsid w:val="12750247"/>
    <w:rsid w:val="130B3D11"/>
    <w:rsid w:val="147C11FC"/>
    <w:rsid w:val="14B053A7"/>
    <w:rsid w:val="1539655D"/>
    <w:rsid w:val="15F0183D"/>
    <w:rsid w:val="16940223"/>
    <w:rsid w:val="181025D6"/>
    <w:rsid w:val="1A4816C0"/>
    <w:rsid w:val="1A4C6BBB"/>
    <w:rsid w:val="1C471301"/>
    <w:rsid w:val="1DC21729"/>
    <w:rsid w:val="1DCC4B11"/>
    <w:rsid w:val="1FA3511C"/>
    <w:rsid w:val="2114547D"/>
    <w:rsid w:val="222375F7"/>
    <w:rsid w:val="227F5EAB"/>
    <w:rsid w:val="2304780B"/>
    <w:rsid w:val="25297BA2"/>
    <w:rsid w:val="27C5207C"/>
    <w:rsid w:val="288A2A7D"/>
    <w:rsid w:val="29F13054"/>
    <w:rsid w:val="2A763612"/>
    <w:rsid w:val="2E0E3CD2"/>
    <w:rsid w:val="2EB441D0"/>
    <w:rsid w:val="32AA10B9"/>
    <w:rsid w:val="35FF5A86"/>
    <w:rsid w:val="36307512"/>
    <w:rsid w:val="36520928"/>
    <w:rsid w:val="36CC4C76"/>
    <w:rsid w:val="370016E2"/>
    <w:rsid w:val="38A1306C"/>
    <w:rsid w:val="39BA2A24"/>
    <w:rsid w:val="3A957C68"/>
    <w:rsid w:val="3BDA5482"/>
    <w:rsid w:val="3C4A2BDA"/>
    <w:rsid w:val="3DDE15E1"/>
    <w:rsid w:val="3E612243"/>
    <w:rsid w:val="3FF52BA4"/>
    <w:rsid w:val="42984D94"/>
    <w:rsid w:val="42DF3068"/>
    <w:rsid w:val="43B66D3F"/>
    <w:rsid w:val="43CC6C26"/>
    <w:rsid w:val="452C451B"/>
    <w:rsid w:val="486662B1"/>
    <w:rsid w:val="48DB0A9A"/>
    <w:rsid w:val="495070E8"/>
    <w:rsid w:val="49604A66"/>
    <w:rsid w:val="4BB20089"/>
    <w:rsid w:val="4C1A4DC8"/>
    <w:rsid w:val="4C6B4EF9"/>
    <w:rsid w:val="4D026D32"/>
    <w:rsid w:val="4D2C74CB"/>
    <w:rsid w:val="4FE64EF3"/>
    <w:rsid w:val="504A0E65"/>
    <w:rsid w:val="50675880"/>
    <w:rsid w:val="50C51AFA"/>
    <w:rsid w:val="53083639"/>
    <w:rsid w:val="539A53CE"/>
    <w:rsid w:val="54686BAD"/>
    <w:rsid w:val="5A7A1531"/>
    <w:rsid w:val="5B9E0AC4"/>
    <w:rsid w:val="5C040C64"/>
    <w:rsid w:val="5D2141E0"/>
    <w:rsid w:val="5D633F30"/>
    <w:rsid w:val="5E797F0D"/>
    <w:rsid w:val="5F291774"/>
    <w:rsid w:val="5F43625E"/>
    <w:rsid w:val="5F6E2F1E"/>
    <w:rsid w:val="5FED1447"/>
    <w:rsid w:val="60FC3854"/>
    <w:rsid w:val="62064B2C"/>
    <w:rsid w:val="62CA3B2A"/>
    <w:rsid w:val="65462B98"/>
    <w:rsid w:val="66F2063F"/>
    <w:rsid w:val="672D4B1D"/>
    <w:rsid w:val="678F5EDC"/>
    <w:rsid w:val="67D60C4A"/>
    <w:rsid w:val="686B09A7"/>
    <w:rsid w:val="68850F92"/>
    <w:rsid w:val="6B2D53B2"/>
    <w:rsid w:val="6BC6086A"/>
    <w:rsid w:val="6C26114A"/>
    <w:rsid w:val="6E242CF9"/>
    <w:rsid w:val="722828EB"/>
    <w:rsid w:val="72C055D8"/>
    <w:rsid w:val="74742163"/>
    <w:rsid w:val="75E959AD"/>
    <w:rsid w:val="78E95987"/>
    <w:rsid w:val="793C11AE"/>
    <w:rsid w:val="7A6F2CDF"/>
    <w:rsid w:val="7B0336F0"/>
    <w:rsid w:val="7B2D19F1"/>
    <w:rsid w:val="7BA65465"/>
    <w:rsid w:val="7BF417FA"/>
    <w:rsid w:val="7C6B473E"/>
    <w:rsid w:val="7C9C3B46"/>
    <w:rsid w:val="7EC2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EA0460"/>
  <w15:docId w15:val="{799D2140-1A55-4FBF-B384-0672F233D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link w:val="a5"/>
    <w:qFormat/>
    <w:rPr>
      <w:kern w:val="2"/>
      <w:sz w:val="18"/>
      <w:szCs w:val="18"/>
    </w:rPr>
  </w:style>
  <w:style w:type="character" w:customStyle="1" w:styleId="a4">
    <w:name w:val="页脚 字符"/>
    <w:link w:val="a3"/>
    <w:qFormat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</w:pPr>
    <w:rPr>
      <w:kern w:val="0"/>
      <w:sz w:val="32"/>
      <w:szCs w:val="32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190</Words>
  <Characters>1084</Characters>
  <Application>Microsoft Office Word</Application>
  <DocSecurity>0</DocSecurity>
  <Lines>9</Lines>
  <Paragraphs>2</Paragraphs>
  <ScaleCrop>false</ScaleCrop>
  <Company>福州市建筑设计院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福兴经济开发区提升改造项目C1地块</dc:title>
  <dc:creator>设备用户</dc:creator>
  <cp:lastModifiedBy>asus</cp:lastModifiedBy>
  <cp:revision>143</cp:revision>
  <dcterms:created xsi:type="dcterms:W3CDTF">2019-06-19T02:15:00Z</dcterms:created>
  <dcterms:modified xsi:type="dcterms:W3CDTF">2020-09-21T13:32:00Z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