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Cs/>
          <w:color w:val="000000" w:themeColor="text1"/>
          <w:sz w:val="36"/>
          <w:szCs w:val="36"/>
          <w14:textFill>
            <w14:solidFill>
              <w14:schemeClr w14:val="tx1"/>
            </w14:solidFill>
          </w14:textFill>
        </w:rPr>
      </w:pPr>
      <w:r>
        <w:rPr>
          <w:rFonts w:hint="eastAsia" w:ascii="黑体" w:hAnsi="黑体" w:eastAsia="黑体"/>
          <w:bCs/>
          <w:color w:val="000000" w:themeColor="text1"/>
          <w:sz w:val="36"/>
          <w:szCs w:val="36"/>
          <w14:textFill>
            <w14:solidFill>
              <w14:schemeClr w14:val="tx1"/>
            </w14:solidFill>
          </w14:textFill>
        </w:rPr>
        <w:t>“</w:t>
      </w:r>
      <w:r>
        <w:rPr>
          <w:rFonts w:hint="eastAsia" w:ascii="黑体" w:hAnsi="黑体" w:eastAsia="黑体"/>
          <w:bCs/>
          <w:color w:val="000000" w:themeColor="text1"/>
          <w:sz w:val="36"/>
          <w:szCs w:val="36"/>
          <w:lang w:eastAsia="zh-CN"/>
          <w14:textFill>
            <w14:solidFill>
              <w14:schemeClr w14:val="tx1"/>
            </w14:solidFill>
          </w14:textFill>
        </w:rPr>
        <w:t>海月龙峰</w:t>
      </w:r>
      <w:r>
        <w:rPr>
          <w:rFonts w:hint="eastAsia" w:ascii="黑体" w:hAnsi="黑体" w:eastAsia="黑体"/>
          <w:bCs/>
          <w:color w:val="000000" w:themeColor="text1"/>
          <w:sz w:val="36"/>
          <w:szCs w:val="36"/>
          <w14:textFill>
            <w14:solidFill>
              <w14:schemeClr w14:val="tx1"/>
            </w14:solidFill>
          </w14:textFill>
        </w:rPr>
        <w:t>”项目</w:t>
      </w:r>
      <w:r>
        <w:rPr>
          <w:rFonts w:hint="eastAsia" w:ascii="黑体" w:hAnsi="黑体" w:eastAsia="黑体"/>
          <w:bCs/>
          <w:color w:val="000000" w:themeColor="text1"/>
          <w:sz w:val="36"/>
          <w:szCs w:val="36"/>
          <w:lang w:val="en-US" w:eastAsia="zh-CN"/>
          <w14:textFill>
            <w14:solidFill>
              <w14:schemeClr w14:val="tx1"/>
            </w14:solidFill>
          </w14:textFill>
        </w:rPr>
        <w:t>装配式</w:t>
      </w:r>
      <w:r>
        <w:rPr>
          <w:rFonts w:hint="eastAsia" w:ascii="黑体" w:hAnsi="黑体" w:eastAsia="黑体"/>
          <w:bCs/>
          <w:color w:val="000000" w:themeColor="text1"/>
          <w:sz w:val="36"/>
          <w:szCs w:val="36"/>
          <w14:textFill>
            <w14:solidFill>
              <w14:schemeClr w14:val="tx1"/>
            </w14:solidFill>
          </w14:textFill>
        </w:rPr>
        <w:t>建筑设计阶段认定</w:t>
      </w:r>
    </w:p>
    <w:p>
      <w:pPr>
        <w:jc w:val="center"/>
        <w:rPr>
          <w:rFonts w:ascii="黑体" w:hAnsi="黑体" w:eastAsia="黑体"/>
          <w:bCs/>
          <w:color w:val="000000" w:themeColor="text1"/>
          <w:sz w:val="36"/>
          <w:szCs w:val="36"/>
          <w14:textFill>
            <w14:solidFill>
              <w14:schemeClr w14:val="tx1"/>
            </w14:solidFill>
          </w14:textFill>
        </w:rPr>
      </w:pPr>
      <w:r>
        <w:rPr>
          <w:rFonts w:hint="eastAsia" w:ascii="黑体" w:hAnsi="黑体" w:eastAsia="黑体"/>
          <w:bCs/>
          <w:color w:val="000000" w:themeColor="text1"/>
          <w:sz w:val="36"/>
          <w:szCs w:val="36"/>
          <w14:textFill>
            <w14:solidFill>
              <w14:schemeClr w14:val="tx1"/>
            </w14:solidFill>
          </w14:textFill>
        </w:rPr>
        <w:t>专家论证意见</w:t>
      </w:r>
    </w:p>
    <w:p>
      <w:pPr>
        <w:snapToGrid w:val="0"/>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w:t>
      </w:r>
      <w:r>
        <w:rPr>
          <w:rFonts w:ascii="仿宋_GB2312" w:hAnsi="宋体"/>
          <w:bCs/>
          <w:color w:val="000000" w:themeColor="text1"/>
          <w:sz w:val="28"/>
          <w:szCs w:val="28"/>
          <w14:textFill>
            <w14:solidFill>
              <w14:schemeClr w14:val="tx1"/>
            </w14:solidFill>
          </w14:textFill>
        </w:rPr>
        <w:t>02</w:t>
      </w:r>
      <w:r>
        <w:rPr>
          <w:rFonts w:hint="eastAsia" w:ascii="仿宋_GB2312" w:hAnsi="宋体"/>
          <w:bCs/>
          <w:color w:val="000000" w:themeColor="text1"/>
          <w:sz w:val="28"/>
          <w:szCs w:val="28"/>
          <w:lang w:val="en-US" w:eastAsia="zh-CN"/>
          <w14:textFill>
            <w14:solidFill>
              <w14:schemeClr w14:val="tx1"/>
            </w14:solidFill>
          </w14:textFill>
        </w:rPr>
        <w:t>1</w:t>
      </w:r>
      <w:r>
        <w:rPr>
          <w:rFonts w:hint="eastAsia" w:ascii="仿宋_GB2312" w:hAnsi="宋体"/>
          <w:bCs/>
          <w:color w:val="000000" w:themeColor="text1"/>
          <w:sz w:val="28"/>
          <w:szCs w:val="28"/>
          <w14:textFill>
            <w14:solidFill>
              <w14:schemeClr w14:val="tx1"/>
            </w14:solidFill>
          </w14:textFill>
        </w:rPr>
        <w:t>年</w:t>
      </w:r>
      <w:r>
        <w:rPr>
          <w:rFonts w:hint="eastAsia" w:ascii="仿宋_GB2312" w:hAnsi="宋体"/>
          <w:bCs/>
          <w:color w:val="000000" w:themeColor="text1"/>
          <w:sz w:val="28"/>
          <w:szCs w:val="28"/>
          <w:lang w:val="en-US" w:eastAsia="zh-CN"/>
          <w14:textFill>
            <w14:solidFill>
              <w14:schemeClr w14:val="tx1"/>
            </w14:solidFill>
          </w14:textFill>
        </w:rPr>
        <w:t>05</w:t>
      </w:r>
      <w:r>
        <w:rPr>
          <w:rFonts w:hint="eastAsia" w:ascii="仿宋_GB2312" w:hAnsi="宋体"/>
          <w:bCs/>
          <w:color w:val="000000" w:themeColor="text1"/>
          <w:sz w:val="28"/>
          <w:szCs w:val="28"/>
          <w14:textFill>
            <w14:solidFill>
              <w14:schemeClr w14:val="tx1"/>
            </w14:solidFill>
          </w14:textFill>
        </w:rPr>
        <w:t>月</w:t>
      </w:r>
      <w:r>
        <w:rPr>
          <w:rFonts w:hint="eastAsia" w:ascii="仿宋_GB2312" w:hAnsi="宋体"/>
          <w:bCs/>
          <w:color w:val="000000" w:themeColor="text1"/>
          <w:sz w:val="28"/>
          <w:szCs w:val="28"/>
          <w:lang w:val="en-US" w:eastAsia="zh-CN"/>
          <w14:textFill>
            <w14:solidFill>
              <w14:schemeClr w14:val="tx1"/>
            </w14:solidFill>
          </w14:textFill>
        </w:rPr>
        <w:t>25</w:t>
      </w:r>
      <w:r>
        <w:rPr>
          <w:rFonts w:hint="eastAsia" w:ascii="仿宋_GB2312" w:hAnsi="宋体"/>
          <w:bCs/>
          <w:color w:val="000000" w:themeColor="text1"/>
          <w:sz w:val="28"/>
          <w:szCs w:val="28"/>
          <w14:textFill>
            <w14:solidFill>
              <w14:schemeClr w14:val="tx1"/>
            </w14:solidFill>
          </w14:textFill>
        </w:rPr>
        <w:t>日，融信（福州）置业有限公司在福州市组织召开“</w:t>
      </w:r>
      <w:r>
        <w:rPr>
          <w:rFonts w:hint="eastAsia" w:ascii="仿宋_GB2312" w:hAnsi="宋体"/>
          <w:bCs/>
          <w:color w:val="000000" w:themeColor="text1"/>
          <w:sz w:val="28"/>
          <w:szCs w:val="28"/>
          <w:lang w:eastAsia="zh-CN"/>
          <w14:textFill>
            <w14:solidFill>
              <w14:schemeClr w14:val="tx1"/>
            </w14:solidFill>
          </w14:textFill>
        </w:rPr>
        <w:t>海月龙峰</w:t>
      </w:r>
      <w:r>
        <w:rPr>
          <w:rFonts w:hint="eastAsia"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项目A-1#、 A-1a#楼、A-2#、 A-2a#楼、A-3#楼、C-1#楼、 C-2#楼、C-3#楼、C-6#楼、 C-7#楼、 C-8#楼、C-9#、 C-9c#楼、C-10#楼、C-11#楼、C-12#楼、C-13#楼、C-15#、 C-15c#楼、C-16#楼、C-17#楼、 C-17c#楼、C-18#楼装配式</w:t>
      </w:r>
      <w:r>
        <w:rPr>
          <w:rFonts w:hint="eastAsia" w:ascii="仿宋_GB2312" w:hAnsi="宋体"/>
          <w:bCs/>
          <w:color w:val="000000" w:themeColor="text1"/>
          <w:sz w:val="28"/>
          <w:szCs w:val="28"/>
          <w14:textFill>
            <w14:solidFill>
              <w14:schemeClr w14:val="tx1"/>
            </w14:solidFill>
          </w14:textFill>
        </w:rPr>
        <w:t>建筑设计阶段</w:t>
      </w:r>
      <w:r>
        <w:rPr>
          <w:rFonts w:hint="eastAsia" w:ascii="仿宋_GB2312" w:hAnsi="宋体"/>
          <w:bCs/>
          <w:color w:val="000000" w:themeColor="text1"/>
          <w:sz w:val="28"/>
          <w:szCs w:val="28"/>
          <w:lang w:val="en-US" w:eastAsia="zh-CN"/>
          <w14:textFill>
            <w14:solidFill>
              <w14:schemeClr w14:val="tx1"/>
            </w14:solidFill>
          </w14:textFill>
        </w:rPr>
        <w:t>评价</w:t>
      </w:r>
      <w:r>
        <w:rPr>
          <w:rFonts w:hint="eastAsia" w:ascii="仿宋_GB2312" w:hAnsi="宋体"/>
          <w:bCs/>
          <w:color w:val="000000" w:themeColor="text1"/>
          <w:sz w:val="28"/>
          <w:szCs w:val="28"/>
          <w14:textFill>
            <w14:solidFill>
              <w14:schemeClr w14:val="tx1"/>
            </w14:solidFill>
          </w14:textFill>
        </w:rPr>
        <w:t>专家论证会</w:t>
      </w:r>
      <w:r>
        <w:rPr>
          <w:rFonts w:hint="eastAsia" w:ascii="仿宋_GB2312" w:hAnsi="宋体"/>
          <w:bCs/>
          <w:color w:val="000000" w:themeColor="text1"/>
          <w:sz w:val="28"/>
          <w:szCs w:val="28"/>
          <w:lang w:val="en-US" w:eastAsia="zh-CN"/>
          <w14:textFill>
            <w14:solidFill>
              <w14:schemeClr w14:val="tx1"/>
            </w14:solidFill>
          </w14:textFill>
        </w:rPr>
        <w:t>，会议由</w:t>
      </w:r>
      <w:r>
        <w:rPr>
          <w:rFonts w:hint="eastAsia" w:ascii="仿宋_GB2312" w:hAnsi="宋体"/>
          <w:bCs/>
          <w:color w:val="000000" w:themeColor="text1"/>
          <w:sz w:val="28"/>
          <w:szCs w:val="28"/>
          <w14:textFill>
            <w14:solidFill>
              <w14:schemeClr w14:val="tx1"/>
            </w14:solidFill>
          </w14:textFill>
        </w:rPr>
        <w:t>融信（福州）置业有限公司</w:t>
      </w:r>
      <w:r>
        <w:rPr>
          <w:rFonts w:hint="eastAsia" w:ascii="仿宋_GB2312" w:hAnsi="宋体"/>
          <w:bCs/>
          <w:color w:val="000000" w:themeColor="text1"/>
          <w:sz w:val="28"/>
          <w:szCs w:val="28"/>
          <w:lang w:val="en-US" w:eastAsia="zh-CN"/>
          <w14:textFill>
            <w14:solidFill>
              <w14:schemeClr w14:val="tx1"/>
            </w14:solidFill>
          </w14:textFill>
        </w:rPr>
        <w:t>主持，设计</w:t>
      </w:r>
      <w:r>
        <w:rPr>
          <w:rFonts w:hint="eastAsia" w:ascii="仿宋_GB2312" w:hAnsi="宋体"/>
          <w:bCs/>
          <w:color w:val="000000" w:themeColor="text1"/>
          <w:sz w:val="28"/>
          <w:szCs w:val="28"/>
          <w14:textFill>
            <w14:solidFill>
              <w14:schemeClr w14:val="tx1"/>
            </w14:solidFill>
          </w14:textFill>
        </w:rPr>
        <w:t>单位、施工图审查单位、评审专家参加了会议。</w:t>
      </w:r>
    </w:p>
    <w:p>
      <w:pPr>
        <w:snapToGrid w:val="0"/>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工程基本简况如下：</w:t>
      </w:r>
      <w:r>
        <w:rPr>
          <w:rFonts w:hint="eastAsia" w:ascii="仿宋_GB2312" w:hAnsi="宋体"/>
          <w:bCs/>
          <w:color w:val="000000" w:themeColor="text1"/>
          <w:sz w:val="28"/>
          <w:szCs w:val="28"/>
          <w:lang w:val="en-US" w:eastAsia="zh-CN"/>
          <w14:textFill>
            <w14:solidFill>
              <w14:schemeClr w14:val="tx1"/>
            </w14:solidFill>
          </w14:textFill>
        </w:rPr>
        <w:t>该</w:t>
      </w:r>
      <w:r>
        <w:rPr>
          <w:rFonts w:hint="eastAsia" w:ascii="仿宋_GB2312" w:hAnsi="宋体"/>
          <w:bCs/>
          <w:color w:val="000000" w:themeColor="text1"/>
          <w:sz w:val="28"/>
          <w:szCs w:val="28"/>
          <w14:textFill>
            <w14:solidFill>
              <w14:schemeClr w14:val="tx1"/>
            </w14:solidFill>
          </w14:textFill>
        </w:rPr>
        <w:t>项目位于福州市</w:t>
      </w:r>
      <w:r>
        <w:rPr>
          <w:rFonts w:hint="eastAsia" w:ascii="仿宋_GB2312" w:hAnsi="宋体"/>
          <w:bCs/>
          <w:color w:val="000000" w:themeColor="text1"/>
          <w:sz w:val="28"/>
          <w:szCs w:val="28"/>
          <w:lang w:eastAsia="zh-CN"/>
          <w14:textFill>
            <w14:solidFill>
              <w14:schemeClr w14:val="tx1"/>
            </w14:solidFill>
          </w14:textFill>
        </w:rPr>
        <w:t>仓山</w:t>
      </w:r>
      <w:r>
        <w:rPr>
          <w:rFonts w:hint="eastAsia" w:ascii="仿宋_GB2312" w:hAnsi="宋体"/>
          <w:bCs/>
          <w:color w:val="000000" w:themeColor="text1"/>
          <w:sz w:val="28"/>
          <w:szCs w:val="28"/>
          <w14:textFill>
            <w14:solidFill>
              <w14:schemeClr w14:val="tx1"/>
            </w14:solidFill>
          </w14:textFill>
        </w:rPr>
        <w:t>区</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14:textFill>
            <w14:solidFill>
              <w14:schemeClr w14:val="tx1"/>
            </w14:solidFill>
          </w14:textFill>
        </w:rPr>
        <w:t>总建筑面积为304529.24平方米，计入容积率的建筑面积为304529.24平方米。其中</w:t>
      </w:r>
      <w:r>
        <w:rPr>
          <w:rFonts w:hint="eastAsia" w:ascii="仿宋_GB2312" w:hAnsi="宋体"/>
          <w:bCs/>
          <w:color w:val="000000" w:themeColor="text1"/>
          <w:sz w:val="28"/>
          <w:szCs w:val="28"/>
          <w:lang w:val="en-US" w:eastAsia="zh-CN"/>
          <w14:textFill>
            <w14:solidFill>
              <w14:schemeClr w14:val="tx1"/>
            </w14:solidFill>
          </w14:textFill>
        </w:rPr>
        <w:t>A-1#、 A-1a#楼、A-2#、 A-2a#楼、A-3#楼、C-1#楼、 C-2#楼、C-3#楼、C-6#楼、 C-7#楼、 C-8#楼、C-9#、 C-9c#楼、C-10#楼、C-11#楼、C-12#楼、C-13#楼、C-15#、 C-15c#楼、C-16#楼、C-17#楼、 C-17c#楼、C-18#楼</w:t>
      </w:r>
      <w:r>
        <w:rPr>
          <w:rFonts w:hint="eastAsia" w:ascii="仿宋_GB2312" w:hAnsi="宋体"/>
          <w:bCs/>
          <w:color w:val="000000" w:themeColor="text1"/>
          <w:sz w:val="28"/>
          <w:szCs w:val="28"/>
          <w14:textFill>
            <w14:solidFill>
              <w14:schemeClr w14:val="tx1"/>
            </w14:solidFill>
          </w14:textFill>
        </w:rPr>
        <w:t>采用预制装配式混凝土结构，装配式楼栋的计容建筑面积为152721.02/304529.24=5</w:t>
      </w:r>
      <w:r>
        <w:rPr>
          <w:rFonts w:hint="eastAsia" w:ascii="仿宋_GB2312" w:hAnsi="宋体"/>
          <w:bCs/>
          <w:color w:val="000000" w:themeColor="text1"/>
          <w:sz w:val="28"/>
          <w:szCs w:val="28"/>
          <w:lang w:val="en-US" w:eastAsia="zh-CN"/>
          <w14:textFill>
            <w14:solidFill>
              <w14:schemeClr w14:val="tx1"/>
            </w14:solidFill>
          </w14:textFill>
        </w:rPr>
        <w:t>0.15</w:t>
      </w:r>
      <w:r>
        <w:rPr>
          <w:rFonts w:hint="eastAsia" w:ascii="仿宋_GB2312" w:hAnsi="宋体"/>
          <w:bCs/>
          <w:color w:val="000000" w:themeColor="text1"/>
          <w:sz w:val="28"/>
          <w:szCs w:val="28"/>
          <w14:textFill>
            <w14:solidFill>
              <w14:schemeClr w14:val="tx1"/>
            </w14:solidFill>
          </w14:textFill>
        </w:rPr>
        <w:t>%&gt;50%，满足福州市人民政府文件榕政综〔2017〕1164号的相关规定要求。</w:t>
      </w:r>
    </w:p>
    <w:p>
      <w:pPr>
        <w:spacing w:line="490" w:lineRule="exact"/>
        <w:ind w:firstLine="560" w:firstLineChars="200"/>
        <w:jc w:val="left"/>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各单体预制装配内容及装配率详下表：</w:t>
      </w:r>
    </w:p>
    <w:tbl>
      <w:tblPr>
        <w:tblStyle w:val="5"/>
        <w:tblW w:w="5364" w:type="pct"/>
        <w:jc w:val="center"/>
        <w:tblLayout w:type="fixed"/>
        <w:tblCellMar>
          <w:top w:w="0" w:type="dxa"/>
          <w:left w:w="0" w:type="dxa"/>
          <w:bottom w:w="0" w:type="dxa"/>
          <w:right w:w="0" w:type="dxa"/>
        </w:tblCellMar>
      </w:tblPr>
      <w:tblGrid>
        <w:gridCol w:w="1760"/>
        <w:gridCol w:w="2204"/>
        <w:gridCol w:w="968"/>
        <w:gridCol w:w="827"/>
        <w:gridCol w:w="779"/>
        <w:gridCol w:w="788"/>
        <w:gridCol w:w="823"/>
        <w:gridCol w:w="784"/>
      </w:tblGrid>
      <w:tr>
        <w:trPr>
          <w:trHeight w:val="340" w:hRule="atLeast"/>
          <w:jc w:val="center"/>
        </w:trPr>
        <w:tc>
          <w:tcPr>
            <w:tcW w:w="985" w:type="pct"/>
            <w:tcBorders>
              <w:top w:val="single" w:color="000000" w:sz="8" w:space="0"/>
              <w:left w:val="single" w:color="000000" w:sz="8" w:space="0"/>
              <w:bottom w:val="single" w:color="000000" w:sz="8" w:space="0"/>
              <w:right w:val="single" w:color="000000" w:sz="8" w:space="0"/>
            </w:tcBorders>
            <w:vAlign w:val="center"/>
          </w:tcPr>
          <w:p>
            <w:pPr>
              <w:spacing w:line="490" w:lineRule="exact"/>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评价项</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A-1#、A-1a#楼</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A-2#、A-2a#楼</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A-3#楼</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C-1#楼</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w:t>
            </w:r>
            <w:r>
              <w:rPr>
                <w:rFonts w:hint="eastAsia" w:ascii="仿宋" w:hAnsi="仿宋" w:eastAsia="仿宋" w:cs="宋体"/>
                <w:color w:val="auto"/>
                <w:sz w:val="24"/>
                <w:szCs w:val="24"/>
                <w:lang w:val="en-US" w:eastAsia="zh-CN"/>
              </w:rPr>
              <w:t>2</w:t>
            </w:r>
            <w:r>
              <w:rPr>
                <w:rFonts w:hint="eastAsia" w:ascii="仿宋" w:hAnsi="仿宋" w:eastAsia="仿宋" w:cs="宋体"/>
                <w:color w:val="auto"/>
                <w:sz w:val="24"/>
                <w:szCs w:val="24"/>
              </w:rPr>
              <w:t>#楼</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w:t>
            </w:r>
            <w:r>
              <w:rPr>
                <w:rFonts w:hint="eastAsia" w:ascii="仿宋" w:hAnsi="仿宋" w:eastAsia="仿宋" w:cs="宋体"/>
                <w:color w:val="auto"/>
                <w:sz w:val="24"/>
                <w:szCs w:val="24"/>
                <w:lang w:val="en-US" w:eastAsia="zh-CN"/>
              </w:rPr>
              <w:t>3</w:t>
            </w:r>
            <w:r>
              <w:rPr>
                <w:rFonts w:hint="eastAsia" w:ascii="仿宋" w:hAnsi="仿宋" w:eastAsia="仿宋" w:cs="宋体"/>
                <w:color w:val="auto"/>
                <w:sz w:val="24"/>
                <w:szCs w:val="24"/>
              </w:rPr>
              <w:t>#楼</w:t>
            </w:r>
          </w:p>
        </w:tc>
      </w:tr>
      <w:tr>
        <w:tblPrEx>
          <w:tblCellMar>
            <w:top w:w="0" w:type="dxa"/>
            <w:left w:w="0" w:type="dxa"/>
            <w:bottom w:w="0" w:type="dxa"/>
            <w:right w:w="0" w:type="dxa"/>
          </w:tblCellMar>
        </w:tblPrEx>
        <w:trPr>
          <w:cantSplit/>
          <w:trHeight w:val="340" w:hRule="atLeast"/>
          <w:jc w:val="center"/>
        </w:trPr>
        <w:tc>
          <w:tcPr>
            <w:tcW w:w="985" w:type="pct"/>
            <w:vMerge w:val="restart"/>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主体结构</w:t>
            </w: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预制叠合板、预制楼梯</w:t>
            </w:r>
            <w:r>
              <w:rPr>
                <w:rFonts w:hint="eastAsia" w:ascii="仿宋" w:hAnsi="仿宋" w:eastAsia="仿宋" w:cs="仿宋"/>
                <w:bCs/>
                <w:color w:val="000000" w:themeColor="text1"/>
                <w:sz w:val="24"/>
                <w:lang w:eastAsia="zh-CN"/>
                <w14:textFill>
                  <w14:solidFill>
                    <w14:schemeClr w14:val="tx1"/>
                  </w14:solidFill>
                </w14:textFill>
              </w:rPr>
              <w:t>、预制挑板</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28.3</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28.7</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28.3</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28.1</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28.4</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28.2</w:t>
            </w:r>
          </w:p>
        </w:tc>
      </w:tr>
      <w:tr>
        <w:tblPrEx>
          <w:tblCellMar>
            <w:top w:w="0" w:type="dxa"/>
            <w:left w:w="0" w:type="dxa"/>
            <w:bottom w:w="0" w:type="dxa"/>
            <w:right w:w="0" w:type="dxa"/>
          </w:tblCellMar>
        </w:tblPrEx>
        <w:trPr>
          <w:trHeight w:val="340" w:hRule="atLeast"/>
          <w:jc w:val="center"/>
        </w:trPr>
        <w:tc>
          <w:tcPr>
            <w:tcW w:w="98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装配式建筑设计标准化、模数化</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985" w:type="pct"/>
            <w:vMerge w:val="continue"/>
            <w:tcBorders>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部品部件通用化</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r>
      <w:tr>
        <w:tblPrEx>
          <w:tblCellMar>
            <w:top w:w="0" w:type="dxa"/>
            <w:left w:w="0" w:type="dxa"/>
            <w:bottom w:w="0" w:type="dxa"/>
            <w:right w:w="0" w:type="dxa"/>
          </w:tblCellMar>
        </w:tblPrEx>
        <w:trPr>
          <w:trHeight w:val="340" w:hRule="atLeast"/>
          <w:jc w:val="center"/>
        </w:trPr>
        <w:tc>
          <w:tcPr>
            <w:tcW w:w="98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围护墙和内隔墙</w:t>
            </w: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内隔墙非砌筑</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10</w:t>
            </w:r>
          </w:p>
        </w:tc>
      </w:tr>
      <w:tr>
        <w:tblPrEx>
          <w:tblCellMar>
            <w:top w:w="0" w:type="dxa"/>
            <w:left w:w="0" w:type="dxa"/>
            <w:bottom w:w="0" w:type="dxa"/>
            <w:right w:w="0" w:type="dxa"/>
          </w:tblCellMar>
        </w:tblPrEx>
        <w:trPr>
          <w:trHeight w:val="340" w:hRule="atLeast"/>
          <w:jc w:val="center"/>
        </w:trPr>
        <w:tc>
          <w:tcPr>
            <w:tcW w:w="2218" w:type="pct"/>
            <w:gridSpan w:val="2"/>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装修和设备管线</w:t>
            </w:r>
          </w:p>
        </w:tc>
        <w:tc>
          <w:tcPr>
            <w:tcW w:w="541" w:type="pct"/>
            <w:tcBorders>
              <w:top w:val="single" w:color="auto" w:sz="4" w:space="0"/>
              <w:left w:val="single" w:color="auto" w:sz="4" w:space="0"/>
              <w:bottom w:val="single" w:color="auto" w:sz="4" w:space="0"/>
              <w:right w:val="single" w:color="auto" w:sz="4"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62"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35"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40"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60" w:type="pct"/>
            <w:tcBorders>
              <w:top w:val="single" w:color="auto" w:sz="4" w:space="0"/>
              <w:left w:val="single" w:color="auto" w:sz="4" w:space="0"/>
              <w:bottom w:val="single" w:color="auto" w:sz="4" w:space="0"/>
              <w:right w:val="single" w:color="auto" w:sz="4" w:space="0"/>
            </w:tcBorders>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38"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985" w:type="pct"/>
            <w:vMerge w:val="restart"/>
            <w:tcBorders>
              <w:top w:val="single" w:color="000000" w:sz="8" w:space="0"/>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技术创新</w:t>
            </w: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设计阶段BIM</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98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施工阶段BIM</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98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可追溯系统</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r>
      <w:tr>
        <w:tblPrEx>
          <w:tblCellMar>
            <w:top w:w="0" w:type="dxa"/>
            <w:left w:w="0" w:type="dxa"/>
            <w:bottom w:w="0" w:type="dxa"/>
            <w:right w:w="0" w:type="dxa"/>
          </w:tblCellMar>
        </w:tblPrEx>
        <w:trPr>
          <w:trHeight w:val="340" w:hRule="atLeast"/>
          <w:jc w:val="center"/>
        </w:trPr>
        <w:tc>
          <w:tcPr>
            <w:tcW w:w="2218"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总计</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50.3</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50.7</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50.3</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50.1</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50.4</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50.2</w:t>
            </w:r>
          </w:p>
        </w:tc>
      </w:tr>
      <w:tr>
        <w:tblPrEx>
          <w:tblCellMar>
            <w:top w:w="0" w:type="dxa"/>
            <w:left w:w="0" w:type="dxa"/>
            <w:bottom w:w="0" w:type="dxa"/>
            <w:right w:w="0" w:type="dxa"/>
          </w:tblCellMar>
        </w:tblPrEx>
        <w:trPr>
          <w:trHeight w:val="340" w:hRule="atLeast"/>
          <w:jc w:val="center"/>
        </w:trPr>
        <w:tc>
          <w:tcPr>
            <w:tcW w:w="2218"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装配率（%）</w:t>
            </w:r>
          </w:p>
        </w:tc>
        <w:tc>
          <w:tcPr>
            <w:tcW w:w="541"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r>
    </w:tbl>
    <w:p>
      <w:pPr>
        <w:spacing w:line="490" w:lineRule="exact"/>
        <w:ind w:firstLine="560" w:firstLineChars="200"/>
        <w:jc w:val="left"/>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各单体预制装配内容及装配率详下表：</w:t>
      </w:r>
    </w:p>
    <w:tbl>
      <w:tblPr>
        <w:tblStyle w:val="5"/>
        <w:tblW w:w="5416" w:type="pct"/>
        <w:jc w:val="center"/>
        <w:tblLayout w:type="fixed"/>
        <w:tblCellMar>
          <w:top w:w="0" w:type="dxa"/>
          <w:left w:w="0" w:type="dxa"/>
          <w:bottom w:w="0" w:type="dxa"/>
          <w:right w:w="0" w:type="dxa"/>
        </w:tblCellMar>
      </w:tblPr>
      <w:tblGrid>
        <w:gridCol w:w="1776"/>
        <w:gridCol w:w="2226"/>
        <w:gridCol w:w="1052"/>
        <w:gridCol w:w="759"/>
        <w:gridCol w:w="787"/>
        <w:gridCol w:w="796"/>
        <w:gridCol w:w="831"/>
        <w:gridCol w:w="792"/>
      </w:tblGrid>
      <w:tr>
        <w:tblPrEx>
          <w:tblCellMar>
            <w:top w:w="0" w:type="dxa"/>
            <w:left w:w="0" w:type="dxa"/>
            <w:bottom w:w="0" w:type="dxa"/>
            <w:right w:w="0" w:type="dxa"/>
          </w:tblCellMar>
        </w:tblPrEx>
        <w:trPr>
          <w:trHeight w:val="340" w:hRule="atLeast"/>
          <w:jc w:val="center"/>
        </w:trPr>
        <w:tc>
          <w:tcPr>
            <w:tcW w:w="984" w:type="pct"/>
            <w:tcBorders>
              <w:top w:val="single" w:color="000000" w:sz="8" w:space="0"/>
              <w:left w:val="single" w:color="000000" w:sz="8" w:space="0"/>
              <w:bottom w:val="single" w:color="000000" w:sz="8" w:space="0"/>
              <w:right w:val="single" w:color="000000" w:sz="8" w:space="0"/>
            </w:tcBorders>
            <w:vAlign w:val="center"/>
          </w:tcPr>
          <w:p>
            <w:pPr>
              <w:spacing w:line="490" w:lineRule="exact"/>
              <w:rPr>
                <w:rFonts w:ascii="仿宋" w:hAnsi="仿宋" w:eastAsia="仿宋" w:cs="仿宋"/>
                <w:bCs/>
                <w:color w:val="000000" w:themeColor="text1"/>
                <w:sz w:val="24"/>
                <w14:textFill>
                  <w14:solidFill>
                    <w14:schemeClr w14:val="tx1"/>
                  </w14:solidFill>
                </w14:textFill>
              </w:rPr>
            </w:pPr>
          </w:p>
        </w:tc>
        <w:tc>
          <w:tcPr>
            <w:tcW w:w="123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评价项</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C-6</w:t>
            </w:r>
            <w:r>
              <w:rPr>
                <w:rFonts w:hint="eastAsia" w:ascii="仿宋" w:hAnsi="仿宋" w:eastAsia="仿宋" w:cs="宋体"/>
                <w:color w:val="auto"/>
                <w:sz w:val="24"/>
                <w:szCs w:val="24"/>
                <w:lang w:val="en-US" w:eastAsia="zh-CN"/>
              </w:rPr>
              <w:t>#</w:t>
            </w:r>
            <w:r>
              <w:rPr>
                <w:rFonts w:hint="eastAsia" w:ascii="仿宋" w:hAnsi="仿宋" w:eastAsia="仿宋" w:cs="宋体"/>
                <w:color w:val="auto"/>
                <w:sz w:val="24"/>
                <w:szCs w:val="24"/>
              </w:rPr>
              <w:t>楼</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w:t>
            </w:r>
            <w:r>
              <w:rPr>
                <w:rFonts w:hint="eastAsia" w:ascii="仿宋" w:hAnsi="仿宋" w:eastAsia="仿宋" w:cs="宋体"/>
                <w:color w:val="auto"/>
                <w:sz w:val="24"/>
                <w:szCs w:val="24"/>
                <w:lang w:val="en-US" w:eastAsia="zh-CN"/>
              </w:rPr>
              <w:t>7</w:t>
            </w:r>
            <w:r>
              <w:rPr>
                <w:rFonts w:hint="eastAsia" w:ascii="仿宋" w:hAnsi="仿宋" w:eastAsia="仿宋" w:cs="宋体"/>
                <w:color w:val="auto"/>
                <w:sz w:val="24"/>
                <w:szCs w:val="24"/>
              </w:rPr>
              <w:t>#楼</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lang w:val="en-US" w:eastAsia="zh-CN"/>
              </w:rPr>
              <w:t>C-8</w:t>
            </w:r>
            <w:r>
              <w:rPr>
                <w:rFonts w:hint="eastAsia" w:ascii="仿宋" w:hAnsi="仿宋" w:eastAsia="仿宋" w:cs="宋体"/>
                <w:color w:val="auto"/>
                <w:sz w:val="24"/>
                <w:szCs w:val="24"/>
              </w:rPr>
              <w:t>#楼</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C-9#、C-9c#楼</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C-10#楼</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C-1</w:t>
            </w:r>
            <w:r>
              <w:rPr>
                <w:rFonts w:hint="eastAsia" w:ascii="仿宋" w:hAnsi="仿宋" w:eastAsia="仿宋" w:cs="宋体"/>
                <w:color w:val="auto"/>
                <w:sz w:val="24"/>
                <w:szCs w:val="24"/>
                <w:lang w:val="en-US" w:eastAsia="zh-CN"/>
              </w:rPr>
              <w:t>1</w:t>
            </w:r>
            <w:r>
              <w:rPr>
                <w:rFonts w:hint="eastAsia" w:ascii="仿宋" w:hAnsi="仿宋" w:eastAsia="仿宋" w:cs="宋体"/>
                <w:color w:val="auto"/>
                <w:sz w:val="24"/>
                <w:szCs w:val="24"/>
              </w:rPr>
              <w:t>#楼</w:t>
            </w:r>
          </w:p>
        </w:tc>
      </w:tr>
      <w:tr>
        <w:tblPrEx>
          <w:tblCellMar>
            <w:top w:w="0" w:type="dxa"/>
            <w:left w:w="0" w:type="dxa"/>
            <w:bottom w:w="0" w:type="dxa"/>
            <w:right w:w="0" w:type="dxa"/>
          </w:tblCellMar>
        </w:tblPrEx>
        <w:trPr>
          <w:cantSplit/>
          <w:trHeight w:val="340" w:hRule="atLeast"/>
          <w:jc w:val="center"/>
        </w:trPr>
        <w:tc>
          <w:tcPr>
            <w:tcW w:w="984" w:type="pct"/>
            <w:vMerge w:val="restart"/>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主体结构</w:t>
            </w:r>
          </w:p>
        </w:tc>
        <w:tc>
          <w:tcPr>
            <w:tcW w:w="123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预制叠合板、预制楼梯</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29.1</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29.1</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29.1</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28.1</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28.2</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29.0</w:t>
            </w:r>
          </w:p>
        </w:tc>
      </w:tr>
      <w:tr>
        <w:tblPrEx>
          <w:tblCellMar>
            <w:top w:w="0" w:type="dxa"/>
            <w:left w:w="0" w:type="dxa"/>
            <w:bottom w:w="0" w:type="dxa"/>
            <w:right w:w="0" w:type="dxa"/>
          </w:tblCellMar>
        </w:tblPrEx>
        <w:trPr>
          <w:trHeight w:val="340" w:hRule="atLeast"/>
          <w:jc w:val="center"/>
        </w:trPr>
        <w:tc>
          <w:tcPr>
            <w:tcW w:w="984"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装配式建筑设计标准化、模数化</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984" w:type="pct"/>
            <w:vMerge w:val="continue"/>
            <w:tcBorders>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部品部件通用化</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r>
      <w:tr>
        <w:tblPrEx>
          <w:tblCellMar>
            <w:top w:w="0" w:type="dxa"/>
            <w:left w:w="0" w:type="dxa"/>
            <w:bottom w:w="0" w:type="dxa"/>
            <w:right w:w="0" w:type="dxa"/>
          </w:tblCellMar>
        </w:tblPrEx>
        <w:trPr>
          <w:trHeight w:val="340" w:hRule="atLeast"/>
          <w:jc w:val="center"/>
        </w:trPr>
        <w:tc>
          <w:tcPr>
            <w:tcW w:w="98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围护墙和内隔墙</w:t>
            </w:r>
          </w:p>
        </w:tc>
        <w:tc>
          <w:tcPr>
            <w:tcW w:w="123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内隔墙非砌筑</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10</w:t>
            </w:r>
          </w:p>
        </w:tc>
      </w:tr>
      <w:tr>
        <w:tblPrEx>
          <w:tblCellMar>
            <w:top w:w="0" w:type="dxa"/>
            <w:left w:w="0" w:type="dxa"/>
            <w:bottom w:w="0" w:type="dxa"/>
            <w:right w:w="0" w:type="dxa"/>
          </w:tblCellMar>
        </w:tblPrEx>
        <w:trPr>
          <w:trHeight w:val="340" w:hRule="atLeast"/>
          <w:jc w:val="center"/>
        </w:trPr>
        <w:tc>
          <w:tcPr>
            <w:tcW w:w="2218" w:type="pct"/>
            <w:gridSpan w:val="2"/>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装修和设备管线</w:t>
            </w:r>
          </w:p>
        </w:tc>
        <w:tc>
          <w:tcPr>
            <w:tcW w:w="583" w:type="pct"/>
            <w:tcBorders>
              <w:top w:val="single" w:color="auto" w:sz="4" w:space="0"/>
              <w:left w:val="single" w:color="auto" w:sz="4" w:space="0"/>
              <w:bottom w:val="single" w:color="auto" w:sz="4" w:space="0"/>
              <w:right w:val="single" w:color="auto" w:sz="4"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20"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36"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41"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60" w:type="pct"/>
            <w:tcBorders>
              <w:top w:val="single" w:color="auto" w:sz="4" w:space="0"/>
              <w:left w:val="single" w:color="auto" w:sz="4" w:space="0"/>
              <w:bottom w:val="single" w:color="auto" w:sz="4" w:space="0"/>
              <w:right w:val="single" w:color="auto" w:sz="4" w:space="0"/>
            </w:tcBorders>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38"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984" w:type="pct"/>
            <w:vMerge w:val="restart"/>
            <w:tcBorders>
              <w:top w:val="single" w:color="000000" w:sz="8" w:space="0"/>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技术创新</w:t>
            </w:r>
          </w:p>
        </w:tc>
        <w:tc>
          <w:tcPr>
            <w:tcW w:w="123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设计阶段BIM</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984"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施工阶段BIM</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984"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可追溯系统</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r>
      <w:tr>
        <w:tblPrEx>
          <w:tblCellMar>
            <w:top w:w="0" w:type="dxa"/>
            <w:left w:w="0" w:type="dxa"/>
            <w:bottom w:w="0" w:type="dxa"/>
            <w:right w:w="0" w:type="dxa"/>
          </w:tblCellMar>
        </w:tblPrEx>
        <w:trPr>
          <w:trHeight w:val="340" w:hRule="atLeast"/>
          <w:jc w:val="center"/>
        </w:trPr>
        <w:tc>
          <w:tcPr>
            <w:tcW w:w="2218"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总计</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51.1</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51.1</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51.1</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50.1</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50.2</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51.0</w:t>
            </w:r>
          </w:p>
        </w:tc>
      </w:tr>
      <w:tr>
        <w:tblPrEx>
          <w:tblCellMar>
            <w:top w:w="0" w:type="dxa"/>
            <w:left w:w="0" w:type="dxa"/>
            <w:bottom w:w="0" w:type="dxa"/>
            <w:right w:w="0" w:type="dxa"/>
          </w:tblCellMar>
        </w:tblPrEx>
        <w:trPr>
          <w:trHeight w:val="340" w:hRule="atLeast"/>
          <w:jc w:val="center"/>
        </w:trPr>
        <w:tc>
          <w:tcPr>
            <w:tcW w:w="2218"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装配率（%）</w:t>
            </w:r>
          </w:p>
        </w:tc>
        <w:tc>
          <w:tcPr>
            <w:tcW w:w="58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2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36"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41"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r>
    </w:tbl>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各单体预制装配内容及装配率详下表：</w:t>
      </w:r>
    </w:p>
    <w:tbl>
      <w:tblPr>
        <w:tblStyle w:val="5"/>
        <w:tblW w:w="5420" w:type="pct"/>
        <w:jc w:val="center"/>
        <w:tblLayout w:type="fixed"/>
        <w:tblCellMar>
          <w:top w:w="0" w:type="dxa"/>
          <w:left w:w="0" w:type="dxa"/>
          <w:bottom w:w="0" w:type="dxa"/>
          <w:right w:w="0" w:type="dxa"/>
        </w:tblCellMar>
      </w:tblPr>
      <w:tblGrid>
        <w:gridCol w:w="1052"/>
        <w:gridCol w:w="2271"/>
        <w:gridCol w:w="1071"/>
        <w:gridCol w:w="777"/>
        <w:gridCol w:w="805"/>
        <w:gridCol w:w="814"/>
        <w:gridCol w:w="849"/>
        <w:gridCol w:w="810"/>
        <w:gridCol w:w="575"/>
      </w:tblGrid>
      <w:tr>
        <w:tblPrEx>
          <w:tblCellMar>
            <w:top w:w="0" w:type="dxa"/>
            <w:left w:w="0" w:type="dxa"/>
            <w:bottom w:w="0" w:type="dxa"/>
            <w:right w:w="0" w:type="dxa"/>
          </w:tblCellMar>
        </w:tblPrEx>
        <w:trPr>
          <w:trHeight w:val="340" w:hRule="atLeast"/>
          <w:jc w:val="center"/>
        </w:trPr>
        <w:tc>
          <w:tcPr>
            <w:tcW w:w="583" w:type="pct"/>
            <w:tcBorders>
              <w:top w:val="single" w:color="000000" w:sz="8" w:space="0"/>
              <w:left w:val="single" w:color="000000" w:sz="8" w:space="0"/>
              <w:bottom w:val="single" w:color="000000" w:sz="8" w:space="0"/>
              <w:right w:val="single" w:color="000000" w:sz="8" w:space="0"/>
            </w:tcBorders>
            <w:vAlign w:val="center"/>
          </w:tcPr>
          <w:p>
            <w:pPr>
              <w:spacing w:line="490" w:lineRule="exact"/>
              <w:rPr>
                <w:rFonts w:ascii="仿宋" w:hAnsi="仿宋" w:eastAsia="仿宋" w:cs="仿宋"/>
                <w:bCs/>
                <w:color w:val="000000" w:themeColor="text1"/>
                <w:sz w:val="24"/>
                <w14:textFill>
                  <w14:solidFill>
                    <w14:schemeClr w14:val="tx1"/>
                  </w14:solidFill>
                </w14:textFill>
              </w:rPr>
            </w:pPr>
          </w:p>
        </w:tc>
        <w:tc>
          <w:tcPr>
            <w:tcW w:w="125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评价项</w:t>
            </w:r>
          </w:p>
        </w:tc>
        <w:tc>
          <w:tcPr>
            <w:tcW w:w="59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C-12#楼</w:t>
            </w:r>
          </w:p>
        </w:tc>
        <w:tc>
          <w:tcPr>
            <w:tcW w:w="43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C-1</w:t>
            </w:r>
            <w:r>
              <w:rPr>
                <w:rFonts w:hint="eastAsia" w:ascii="仿宋" w:hAnsi="仿宋" w:eastAsia="仿宋" w:cs="宋体"/>
                <w:color w:val="auto"/>
                <w:sz w:val="24"/>
                <w:szCs w:val="24"/>
                <w:lang w:val="en-US" w:eastAsia="zh-CN"/>
              </w:rPr>
              <w:t>3</w:t>
            </w:r>
            <w:r>
              <w:rPr>
                <w:rFonts w:hint="eastAsia" w:ascii="仿宋" w:hAnsi="仿宋" w:eastAsia="仿宋" w:cs="宋体"/>
                <w:color w:val="auto"/>
                <w:sz w:val="24"/>
                <w:szCs w:val="24"/>
              </w:rPr>
              <w:t>#楼</w:t>
            </w:r>
          </w:p>
        </w:tc>
        <w:tc>
          <w:tcPr>
            <w:tcW w:w="44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C-15#、C-15c#楼</w:t>
            </w:r>
          </w:p>
        </w:tc>
        <w:tc>
          <w:tcPr>
            <w:tcW w:w="45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C-16#楼</w:t>
            </w:r>
          </w:p>
        </w:tc>
        <w:tc>
          <w:tcPr>
            <w:tcW w:w="47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宋体"/>
                <w:color w:val="auto"/>
                <w:sz w:val="24"/>
                <w:szCs w:val="24"/>
              </w:rPr>
              <w:t>C-17#楼</w:t>
            </w:r>
          </w:p>
        </w:tc>
        <w:tc>
          <w:tcPr>
            <w:tcW w:w="44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宋体"/>
                <w:color w:val="auto"/>
                <w:sz w:val="24"/>
                <w:szCs w:val="24"/>
              </w:rPr>
              <w:t>C-17c#楼</w:t>
            </w:r>
          </w:p>
        </w:tc>
        <w:tc>
          <w:tcPr>
            <w:tcW w:w="31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宋体"/>
                <w:color w:val="auto"/>
                <w:sz w:val="24"/>
                <w:szCs w:val="24"/>
              </w:rPr>
            </w:pPr>
            <w:r>
              <w:rPr>
                <w:rFonts w:hint="eastAsia" w:ascii="仿宋" w:hAnsi="仿宋" w:eastAsia="仿宋" w:cs="宋体"/>
                <w:color w:val="auto"/>
                <w:sz w:val="24"/>
                <w:szCs w:val="24"/>
              </w:rPr>
              <w:t>C-1</w:t>
            </w:r>
            <w:r>
              <w:rPr>
                <w:rFonts w:hint="eastAsia" w:ascii="仿宋" w:hAnsi="仿宋" w:eastAsia="仿宋" w:cs="宋体"/>
                <w:color w:val="auto"/>
                <w:sz w:val="24"/>
                <w:szCs w:val="24"/>
                <w:lang w:val="en-US" w:eastAsia="zh-CN"/>
              </w:rPr>
              <w:t>8</w:t>
            </w:r>
            <w:r>
              <w:rPr>
                <w:rFonts w:hint="eastAsia" w:ascii="仿宋" w:hAnsi="仿宋" w:eastAsia="仿宋" w:cs="宋体"/>
                <w:color w:val="auto"/>
                <w:sz w:val="24"/>
                <w:szCs w:val="24"/>
              </w:rPr>
              <w:t>#楼</w:t>
            </w:r>
          </w:p>
        </w:tc>
      </w:tr>
      <w:tr>
        <w:tblPrEx>
          <w:tblCellMar>
            <w:top w:w="0" w:type="dxa"/>
            <w:left w:w="0" w:type="dxa"/>
            <w:bottom w:w="0" w:type="dxa"/>
            <w:right w:w="0" w:type="dxa"/>
          </w:tblCellMar>
        </w:tblPrEx>
        <w:trPr>
          <w:cantSplit/>
          <w:trHeight w:val="340" w:hRule="atLeast"/>
          <w:jc w:val="center"/>
        </w:trPr>
        <w:tc>
          <w:tcPr>
            <w:tcW w:w="583" w:type="pct"/>
            <w:vMerge w:val="restart"/>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主体结构</w:t>
            </w:r>
          </w:p>
        </w:tc>
        <w:tc>
          <w:tcPr>
            <w:tcW w:w="125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预制叠合板、预制楼梯</w:t>
            </w:r>
          </w:p>
        </w:tc>
        <w:tc>
          <w:tcPr>
            <w:tcW w:w="59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28.7</w:t>
            </w:r>
          </w:p>
        </w:tc>
        <w:tc>
          <w:tcPr>
            <w:tcW w:w="43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28.6</w:t>
            </w:r>
          </w:p>
        </w:tc>
        <w:tc>
          <w:tcPr>
            <w:tcW w:w="44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28.5</w:t>
            </w:r>
          </w:p>
        </w:tc>
        <w:tc>
          <w:tcPr>
            <w:tcW w:w="45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28.9</w:t>
            </w:r>
          </w:p>
        </w:tc>
        <w:tc>
          <w:tcPr>
            <w:tcW w:w="47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31.0</w:t>
            </w:r>
          </w:p>
        </w:tc>
        <w:tc>
          <w:tcPr>
            <w:tcW w:w="44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30.9</w:t>
            </w:r>
          </w:p>
        </w:tc>
        <w:tc>
          <w:tcPr>
            <w:tcW w:w="31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28.9</w:t>
            </w:r>
          </w:p>
        </w:tc>
      </w:tr>
      <w:tr>
        <w:tblPrEx>
          <w:tblCellMar>
            <w:top w:w="0" w:type="dxa"/>
            <w:left w:w="0" w:type="dxa"/>
            <w:bottom w:w="0" w:type="dxa"/>
            <w:right w:w="0" w:type="dxa"/>
          </w:tblCellMar>
        </w:tblPrEx>
        <w:trPr>
          <w:trHeight w:val="340" w:hRule="atLeast"/>
          <w:jc w:val="center"/>
        </w:trPr>
        <w:tc>
          <w:tcPr>
            <w:tcW w:w="583"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5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装配式建筑设计标准化、模数化</w:t>
            </w:r>
          </w:p>
        </w:tc>
        <w:tc>
          <w:tcPr>
            <w:tcW w:w="59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3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4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5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7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4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31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583" w:type="pct"/>
            <w:vMerge w:val="continue"/>
            <w:tcBorders>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5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部品部件通用化</w:t>
            </w:r>
          </w:p>
        </w:tc>
        <w:tc>
          <w:tcPr>
            <w:tcW w:w="59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3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44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45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7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4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31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r>
      <w:tr>
        <w:tblPrEx>
          <w:tblCellMar>
            <w:top w:w="0" w:type="dxa"/>
            <w:left w:w="0" w:type="dxa"/>
            <w:bottom w:w="0" w:type="dxa"/>
            <w:right w:w="0" w:type="dxa"/>
          </w:tblCellMar>
        </w:tblPrEx>
        <w:trPr>
          <w:trHeight w:val="340" w:hRule="atLeast"/>
          <w:jc w:val="center"/>
        </w:trPr>
        <w:tc>
          <w:tcPr>
            <w:tcW w:w="583" w:type="pct"/>
            <w:tcBorders>
              <w:top w:val="single" w:color="000000" w:sz="8" w:space="0"/>
              <w:left w:val="single" w:color="000000" w:sz="8" w:space="0"/>
              <w:bottom w:val="single" w:color="auto" w:sz="4"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围护墙和内隔墙</w:t>
            </w:r>
          </w:p>
        </w:tc>
        <w:tc>
          <w:tcPr>
            <w:tcW w:w="1258" w:type="pct"/>
            <w:tcBorders>
              <w:top w:val="single" w:color="000000" w:sz="8" w:space="0"/>
              <w:left w:val="single" w:color="000000" w:sz="8" w:space="0"/>
              <w:bottom w:val="single" w:color="auto" w:sz="4"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内隔墙非砌筑</w:t>
            </w:r>
          </w:p>
        </w:tc>
        <w:tc>
          <w:tcPr>
            <w:tcW w:w="593" w:type="pct"/>
            <w:tcBorders>
              <w:top w:val="single" w:color="000000" w:sz="8" w:space="0"/>
              <w:left w:val="single" w:color="000000" w:sz="8" w:space="0"/>
              <w:bottom w:val="single" w:color="auto" w:sz="4"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30" w:type="pct"/>
            <w:tcBorders>
              <w:top w:val="single" w:color="000000" w:sz="8" w:space="0"/>
              <w:left w:val="single" w:color="000000" w:sz="8" w:space="0"/>
              <w:bottom w:val="single" w:color="auto" w:sz="4"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45" w:type="pct"/>
            <w:tcBorders>
              <w:top w:val="single" w:color="000000" w:sz="8" w:space="0"/>
              <w:left w:val="single" w:color="000000" w:sz="8" w:space="0"/>
              <w:bottom w:val="single" w:color="auto" w:sz="4"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50" w:type="pct"/>
            <w:tcBorders>
              <w:top w:val="single" w:color="000000" w:sz="8" w:space="0"/>
              <w:left w:val="single" w:color="000000" w:sz="8" w:space="0"/>
              <w:bottom w:val="single" w:color="auto" w:sz="4"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70" w:type="pct"/>
            <w:tcBorders>
              <w:top w:val="single" w:color="000000" w:sz="8" w:space="0"/>
              <w:left w:val="single" w:color="000000" w:sz="8" w:space="0"/>
              <w:bottom w:val="single" w:color="auto" w:sz="4"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48" w:type="pct"/>
            <w:tcBorders>
              <w:top w:val="single" w:color="000000" w:sz="8" w:space="0"/>
              <w:left w:val="single" w:color="000000" w:sz="8" w:space="0"/>
              <w:bottom w:val="single" w:color="auto" w:sz="4"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10</w:t>
            </w:r>
          </w:p>
        </w:tc>
        <w:tc>
          <w:tcPr>
            <w:tcW w:w="318" w:type="pct"/>
            <w:tcBorders>
              <w:top w:val="single" w:color="000000" w:sz="8" w:space="0"/>
              <w:left w:val="single" w:color="000000" w:sz="8" w:space="0"/>
              <w:bottom w:val="single" w:color="auto" w:sz="4"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10</w:t>
            </w:r>
          </w:p>
        </w:tc>
      </w:tr>
      <w:tr>
        <w:tblPrEx>
          <w:tblCellMar>
            <w:top w:w="0" w:type="dxa"/>
            <w:left w:w="0" w:type="dxa"/>
            <w:bottom w:w="0" w:type="dxa"/>
            <w:right w:w="0" w:type="dxa"/>
          </w:tblCellMar>
        </w:tblPrEx>
        <w:trPr>
          <w:trHeight w:val="340" w:hRule="atLeast"/>
          <w:jc w:val="center"/>
        </w:trPr>
        <w:tc>
          <w:tcPr>
            <w:tcW w:w="1841" w:type="pct"/>
            <w:gridSpan w:val="2"/>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装修和设备管线</w:t>
            </w:r>
          </w:p>
        </w:tc>
        <w:tc>
          <w:tcPr>
            <w:tcW w:w="593" w:type="pct"/>
            <w:tcBorders>
              <w:top w:val="single" w:color="auto" w:sz="4" w:space="0"/>
              <w:left w:val="single" w:color="auto" w:sz="4" w:space="0"/>
              <w:bottom w:val="single" w:color="auto" w:sz="4" w:space="0"/>
              <w:right w:val="single" w:color="auto" w:sz="4"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30"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45"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50"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70" w:type="pct"/>
            <w:tcBorders>
              <w:top w:val="single" w:color="auto" w:sz="4" w:space="0"/>
              <w:left w:val="single" w:color="auto" w:sz="4" w:space="0"/>
              <w:bottom w:val="single" w:color="auto" w:sz="4" w:space="0"/>
              <w:right w:val="single" w:color="auto" w:sz="4" w:space="0"/>
            </w:tcBorders>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48"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318"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583" w:type="pct"/>
            <w:vMerge w:val="restart"/>
            <w:tcBorders>
              <w:top w:val="single" w:color="auto" w:sz="4" w:space="0"/>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技术创新</w:t>
            </w:r>
          </w:p>
        </w:tc>
        <w:tc>
          <w:tcPr>
            <w:tcW w:w="1258" w:type="pct"/>
            <w:tcBorders>
              <w:top w:val="single" w:color="auto" w:sz="4"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设计阶段BIM</w:t>
            </w:r>
          </w:p>
        </w:tc>
        <w:tc>
          <w:tcPr>
            <w:tcW w:w="593" w:type="pct"/>
            <w:tcBorders>
              <w:top w:val="single" w:color="auto" w:sz="4"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0" w:type="pct"/>
            <w:tcBorders>
              <w:top w:val="single" w:color="auto" w:sz="4"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5" w:type="pct"/>
            <w:tcBorders>
              <w:top w:val="single" w:color="auto" w:sz="4"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50" w:type="pct"/>
            <w:tcBorders>
              <w:top w:val="single" w:color="auto" w:sz="4"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0" w:type="pct"/>
            <w:tcBorders>
              <w:top w:val="single" w:color="auto" w:sz="4"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8" w:type="pct"/>
            <w:tcBorders>
              <w:top w:val="single" w:color="auto" w:sz="4"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c>
          <w:tcPr>
            <w:tcW w:w="318" w:type="pct"/>
            <w:tcBorders>
              <w:top w:val="single" w:color="auto" w:sz="4"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583"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5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施工阶段BIM</w:t>
            </w:r>
          </w:p>
        </w:tc>
        <w:tc>
          <w:tcPr>
            <w:tcW w:w="59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5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c>
          <w:tcPr>
            <w:tcW w:w="31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583"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5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可追溯系统</w:t>
            </w:r>
          </w:p>
        </w:tc>
        <w:tc>
          <w:tcPr>
            <w:tcW w:w="59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3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4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5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7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4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31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r>
      <w:tr>
        <w:tblPrEx>
          <w:tblCellMar>
            <w:top w:w="0" w:type="dxa"/>
            <w:left w:w="0" w:type="dxa"/>
            <w:bottom w:w="0" w:type="dxa"/>
            <w:right w:w="0" w:type="dxa"/>
          </w:tblCellMar>
        </w:tblPrEx>
        <w:trPr>
          <w:trHeight w:val="340" w:hRule="atLeast"/>
          <w:jc w:val="center"/>
        </w:trPr>
        <w:tc>
          <w:tcPr>
            <w:tcW w:w="1841"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总计</w:t>
            </w:r>
          </w:p>
        </w:tc>
        <w:tc>
          <w:tcPr>
            <w:tcW w:w="59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50.7</w:t>
            </w:r>
          </w:p>
        </w:tc>
        <w:tc>
          <w:tcPr>
            <w:tcW w:w="43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50.6</w:t>
            </w:r>
          </w:p>
        </w:tc>
        <w:tc>
          <w:tcPr>
            <w:tcW w:w="44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50.5</w:t>
            </w:r>
          </w:p>
        </w:tc>
        <w:tc>
          <w:tcPr>
            <w:tcW w:w="45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50.9</w:t>
            </w:r>
          </w:p>
        </w:tc>
        <w:tc>
          <w:tcPr>
            <w:tcW w:w="47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53.0</w:t>
            </w:r>
          </w:p>
        </w:tc>
        <w:tc>
          <w:tcPr>
            <w:tcW w:w="44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50.4</w:t>
            </w:r>
          </w:p>
        </w:tc>
        <w:tc>
          <w:tcPr>
            <w:tcW w:w="31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50.9</w:t>
            </w:r>
          </w:p>
        </w:tc>
      </w:tr>
      <w:tr>
        <w:tblPrEx>
          <w:tblCellMar>
            <w:top w:w="0" w:type="dxa"/>
            <w:left w:w="0" w:type="dxa"/>
            <w:bottom w:w="0" w:type="dxa"/>
            <w:right w:w="0" w:type="dxa"/>
          </w:tblCellMar>
        </w:tblPrEx>
        <w:trPr>
          <w:trHeight w:val="340" w:hRule="atLeast"/>
          <w:jc w:val="center"/>
        </w:trPr>
        <w:tc>
          <w:tcPr>
            <w:tcW w:w="1841"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装配率（%）</w:t>
            </w:r>
          </w:p>
        </w:tc>
        <w:tc>
          <w:tcPr>
            <w:tcW w:w="59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3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4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5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7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53%</w:t>
            </w:r>
          </w:p>
        </w:tc>
        <w:tc>
          <w:tcPr>
            <w:tcW w:w="44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31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r>
    </w:tbl>
    <w:p>
      <w:pPr>
        <w:keepNext w:val="0"/>
        <w:keepLines w:val="0"/>
        <w:pageBreakBefore w:val="0"/>
        <w:widowControl w:val="0"/>
        <w:kinsoku/>
        <w:wordWrap/>
        <w:overflowPunct/>
        <w:topLinePunct w:val="0"/>
        <w:autoSpaceDE/>
        <w:autoSpaceDN/>
        <w:bidi w:val="0"/>
        <w:adjustRightInd/>
        <w:snapToGrid/>
        <w:spacing w:line="540" w:lineRule="exact"/>
        <w:ind w:firstLine="280" w:firstLineChars="100"/>
        <w:jc w:val="left"/>
        <w:textAlignment w:val="auto"/>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施工图设计文件已通过审图机构审查。</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ascii="仿宋_GB2312"/>
          <w:color w:val="000000" w:themeColor="text1"/>
          <w:sz w:val="24"/>
          <w:szCs w:val="22"/>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审查机构：</w:t>
      </w:r>
      <w:r>
        <w:rPr>
          <w:rFonts w:hint="eastAsia" w:ascii="仿宋_GB2312" w:hAnsi="宋体"/>
          <w:bCs/>
          <w:color w:val="000000" w:themeColor="text1"/>
          <w:sz w:val="28"/>
          <w:szCs w:val="28"/>
          <w:lang w:val="en-US" w:eastAsia="zh-CN"/>
          <w14:textFill>
            <w14:solidFill>
              <w14:schemeClr w14:val="tx1"/>
            </w14:solidFill>
          </w14:textFill>
        </w:rPr>
        <w:t>福建省建科院施工图审查有限公司</w:t>
      </w:r>
      <w:r>
        <w:rPr>
          <w:rFonts w:hint="eastAsia" w:ascii="仿宋_GB2312" w:hAnsi="宋体"/>
          <w:bCs/>
          <w:color w:val="000000" w:themeColor="text1"/>
          <w:sz w:val="28"/>
          <w:szCs w:val="28"/>
          <w14:textFill>
            <w14:solidFill>
              <w14:schemeClr w14:val="tx1"/>
            </w14:solidFill>
          </w14:textFill>
        </w:rPr>
        <w:t>，合格证编号:</w:t>
      </w:r>
      <w:r>
        <w:t xml:space="preserve"> </w:t>
      </w:r>
      <w:r>
        <w:rPr>
          <w:rFonts w:hint="eastAsia" w:ascii="仿宋_GB2312" w:hAnsi="宋体"/>
          <w:bCs/>
          <w:color w:val="FF0000"/>
          <w:sz w:val="28"/>
          <w:szCs w:val="28"/>
          <w:lang w:val="en-US" w:eastAsia="zh-CN"/>
        </w:rPr>
        <w:t>3501042007140101-TX-002</w:t>
      </w:r>
      <w:r>
        <w:rPr>
          <w:rFonts w:hint="eastAsia" w:ascii="仿宋_GB2312" w:hAnsi="宋体"/>
          <w:bCs/>
          <w:color w:val="000000" w:themeColor="text1"/>
          <w:sz w:val="28"/>
          <w:szCs w:val="28"/>
          <w14:textFill>
            <w14:solidFill>
              <w14:schemeClr w14:val="tx1"/>
            </w14:solidFill>
          </w14:textFill>
        </w:rPr>
        <w:t>。</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与会专家及相关职能部门领导听取了福建博宇建筑设计有限公司及建设单位对</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的介绍，经会议研究讨论，形成以下意见：</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(1) </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预制面积不小于总建筑面积计容部分的50%，满足福州市人民政府文件榕政综〔2017〕1164号</w:t>
      </w:r>
      <w:r>
        <w:rPr>
          <w:rFonts w:hint="eastAsia" w:ascii="仿宋_GB2312" w:hAnsi="宋体"/>
          <w:bCs/>
          <w:color w:val="000000" w:themeColor="text1"/>
          <w:sz w:val="28"/>
          <w:szCs w:val="28"/>
          <w:lang w:val="en-US" w:eastAsia="zh-CN"/>
          <w14:textFill>
            <w14:solidFill>
              <w14:schemeClr w14:val="tx1"/>
            </w14:solidFill>
          </w14:textFill>
        </w:rPr>
        <w:t>文件</w:t>
      </w:r>
      <w:r>
        <w:rPr>
          <w:rFonts w:hint="eastAsia" w:ascii="仿宋_GB2312" w:hAnsi="宋体"/>
          <w:bCs/>
          <w:color w:val="000000" w:themeColor="text1"/>
          <w:sz w:val="28"/>
          <w:szCs w:val="28"/>
          <w14:textFill>
            <w14:solidFill>
              <w14:schemeClr w14:val="tx1"/>
            </w14:solidFill>
          </w14:textFill>
        </w:rPr>
        <w:t>的相关规定，且满足</w:t>
      </w:r>
      <w:r>
        <w:rPr>
          <w:rFonts w:hint="eastAsia" w:ascii="仿宋_GB2312" w:hAnsi="宋体"/>
          <w:bCs/>
          <w:color w:val="000000" w:themeColor="text1"/>
          <w:sz w:val="28"/>
          <w:szCs w:val="28"/>
          <w:lang w:eastAsia="zh-CN"/>
          <w14:textFill>
            <w14:solidFill>
              <w14:schemeClr w14:val="tx1"/>
            </w14:solidFill>
          </w14:textFill>
        </w:rPr>
        <w:t>该</w:t>
      </w:r>
      <w:r>
        <w:rPr>
          <w:rFonts w:hint="eastAsia" w:ascii="仿宋_GB2312" w:hAnsi="宋体"/>
          <w:bCs/>
          <w:color w:val="000000" w:themeColor="text1"/>
          <w:sz w:val="28"/>
          <w:szCs w:val="28"/>
          <w14:textFill>
            <w14:solidFill>
              <w14:schemeClr w14:val="tx1"/>
            </w14:solidFill>
          </w14:textFill>
        </w:rPr>
        <w:t>项目</w:t>
      </w:r>
      <w:r>
        <w:rPr>
          <w:rFonts w:hint="eastAsia" w:ascii="仿宋_GB2312" w:hAnsi="宋体"/>
          <w:bCs/>
          <w:color w:val="000000" w:themeColor="text1"/>
          <w:sz w:val="28"/>
          <w:szCs w:val="28"/>
          <w:lang w:val="en-US" w:eastAsia="zh-CN"/>
          <w14:textFill>
            <w14:solidFill>
              <w14:schemeClr w14:val="tx1"/>
            </w14:solidFill>
          </w14:textFill>
        </w:rPr>
        <w:t>国有建设用地使用权出</w:t>
      </w:r>
      <w:r>
        <w:rPr>
          <w:rFonts w:hint="eastAsia" w:ascii="仿宋_GB2312" w:hAnsi="宋体"/>
          <w:bCs/>
          <w:color w:val="000000" w:themeColor="text1"/>
          <w:sz w:val="28"/>
          <w:szCs w:val="28"/>
          <w14:textFill>
            <w14:solidFill>
              <w14:schemeClr w14:val="tx1"/>
            </w14:solidFill>
          </w14:textFill>
        </w:rPr>
        <w:t>让合同</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合同编号：35010020200624P041</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14:textFill>
            <w14:solidFill>
              <w14:schemeClr w14:val="tx1"/>
            </w14:solidFill>
          </w14:textFill>
        </w:rPr>
        <w:t>相关要求。</w:t>
      </w:r>
    </w:p>
    <w:p>
      <w:pPr>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(2) </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lang w:val="en-US" w:eastAsia="zh-CN"/>
          <w14:textFill>
            <w14:solidFill>
              <w14:schemeClr w14:val="tx1"/>
            </w14:solidFill>
          </w14:textFill>
        </w:rPr>
        <w:t>A-1#、 A-1a#楼、A-2#、 A-2a#楼、A-3#楼、C-1#楼、 C-2#楼、C-3#楼、C-6#楼、 C-7#楼、 C-8#楼、C-9#、 C-9c#楼、C-10#楼、C-11#楼、C-12#楼、C-13#楼、C-15#、 C-15c#楼、C-16#楼、C-17#楼、 C-17c#楼、C-18#楼</w:t>
      </w:r>
      <w:r>
        <w:rPr>
          <w:rFonts w:hint="eastAsia" w:ascii="仿宋_GB2312" w:hAnsi="宋体"/>
          <w:bCs/>
          <w:color w:val="000000" w:themeColor="text1"/>
          <w:sz w:val="28"/>
          <w:szCs w:val="28"/>
          <w14:textFill>
            <w14:solidFill>
              <w14:schemeClr w14:val="tx1"/>
            </w14:solidFill>
          </w14:textFill>
        </w:rPr>
        <w:t>装配式建筑设计相关资料完整，其主体结构、围护墙和内隔墙、技术创新部分的分值均不低于最低分值要求，各单体建筑装配率均不低于</w:t>
      </w:r>
      <w:r>
        <w:rPr>
          <w:rFonts w:ascii="仿宋_GB2312" w:hAnsi="宋体"/>
          <w:bCs/>
          <w:color w:val="000000" w:themeColor="text1"/>
          <w:sz w:val="28"/>
          <w:szCs w:val="28"/>
          <w14:textFill>
            <w14:solidFill>
              <w14:schemeClr w14:val="tx1"/>
            </w14:solidFill>
          </w14:textFill>
        </w:rPr>
        <w:t>50</w:t>
      </w:r>
      <w:r>
        <w:rPr>
          <w:rFonts w:hint="eastAsia" w:ascii="仿宋_GB2312" w:hAnsi="宋体"/>
          <w:bCs/>
          <w:color w:val="000000" w:themeColor="text1"/>
          <w:sz w:val="28"/>
          <w:szCs w:val="28"/>
          <w14:textFill>
            <w14:solidFill>
              <w14:schemeClr w14:val="tx1"/>
            </w14:solidFill>
          </w14:textFill>
        </w:rPr>
        <w:t>%，符合《福建省装配式建筑评价管理办法（试行）》（闽建[2</w:t>
      </w:r>
      <w:r>
        <w:rPr>
          <w:rFonts w:ascii="仿宋_GB2312" w:hAnsi="宋体"/>
          <w:bCs/>
          <w:color w:val="000000" w:themeColor="text1"/>
          <w:sz w:val="28"/>
          <w:szCs w:val="28"/>
          <w14:textFill>
            <w14:solidFill>
              <w14:schemeClr w14:val="tx1"/>
            </w14:solidFill>
          </w14:textFill>
        </w:rPr>
        <w:t>020]4</w:t>
      </w:r>
      <w:r>
        <w:rPr>
          <w:rFonts w:hint="eastAsia" w:ascii="仿宋_GB2312" w:hAnsi="宋体"/>
          <w:bCs/>
          <w:color w:val="000000" w:themeColor="text1"/>
          <w:sz w:val="28"/>
          <w:szCs w:val="28"/>
          <w14:textFill>
            <w14:solidFill>
              <w14:schemeClr w14:val="tx1"/>
            </w14:solidFill>
          </w14:textFill>
        </w:rPr>
        <w:t>号）的相关规定，同意</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lang w:val="en-US" w:eastAsia="zh-CN"/>
          <w14:textFill>
            <w14:solidFill>
              <w14:schemeClr w14:val="tx1"/>
            </w14:solidFill>
          </w14:textFill>
        </w:rPr>
        <w:t>A-1#、 A-1a#楼、A-2#、 A-2a#楼、A-3#楼、C-1#楼、 C-2#楼、C-3#楼、C-6#楼、 C-7#楼、 C-8#楼、C-9#、 C-9c#楼、C-10#楼、C-11#楼、C-12#楼、C-13#楼、C-15#、 C-15c#楼、C-16#楼、C-17#楼、 C-17c#楼、C-18#楼</w:t>
      </w:r>
      <w:r>
        <w:rPr>
          <w:rFonts w:hint="eastAsia" w:ascii="仿宋_GB2312" w:hAnsi="宋体"/>
          <w:bCs/>
          <w:color w:val="000000" w:themeColor="text1"/>
          <w:sz w:val="28"/>
          <w:szCs w:val="28"/>
          <w14:textFill>
            <w14:solidFill>
              <w14:schemeClr w14:val="tx1"/>
            </w14:solidFill>
          </w14:textFill>
        </w:rPr>
        <w:t>设计阶段评价为装配式建筑。</w:t>
      </w:r>
    </w:p>
    <w:p>
      <w:pPr>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p>
    <w:p>
      <w:pPr>
        <w:spacing w:line="500" w:lineRule="exact"/>
        <w:rPr>
          <w:rFonts w:hint="eastAsia" w:ascii="仿宋_GB2312" w:hAnsi="宋体"/>
          <w:bCs/>
          <w:color w:val="000000" w:themeColor="text1"/>
          <w:sz w:val="32"/>
          <w:szCs w:val="32"/>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专家名单：</w:t>
      </w:r>
      <w:r>
        <w:rPr>
          <w:rFonts w:hint="eastAsia" w:ascii="仿宋_GB2312" w:hAnsi="宋体"/>
          <w:bCs/>
          <w:color w:val="000000" w:themeColor="text1"/>
          <w:sz w:val="32"/>
          <w:szCs w:val="32"/>
          <w14:textFill>
            <w14:solidFill>
              <w14:schemeClr w14:val="tx1"/>
            </w14:solidFill>
          </w14:textFill>
        </w:rPr>
        <w:t xml:space="preserve">  </w:t>
      </w:r>
    </w:p>
    <w:p>
      <w:pPr>
        <w:spacing w:line="500" w:lineRule="exact"/>
        <w:rPr>
          <w:rFonts w:hint="eastAsia" w:ascii="仿宋_GB2312" w:hAnsi="宋体"/>
          <w:bCs/>
          <w:color w:val="000000" w:themeColor="text1"/>
          <w:sz w:val="32"/>
          <w:szCs w:val="32"/>
          <w14:textFill>
            <w14:solidFill>
              <w14:schemeClr w14:val="tx1"/>
            </w14:solidFill>
          </w14:textFill>
        </w:rPr>
      </w:pPr>
    </w:p>
    <w:p>
      <w:pPr>
        <w:widowControl/>
        <w:spacing w:line="500" w:lineRule="exact"/>
        <w:jc w:val="left"/>
        <w:rPr>
          <w:rFonts w:hint="default" w:ascii="仿宋_GB2312" w:hAnsi="宋体" w:eastAsia="仿宋_GB2312"/>
          <w:bCs/>
          <w:color w:val="000000" w:themeColor="text1"/>
          <w:sz w:val="28"/>
          <w:szCs w:val="28"/>
          <w:lang w:val="en-US" w:eastAsia="zh-CN"/>
          <w14:textFill>
            <w14:solidFill>
              <w14:schemeClr w14:val="tx1"/>
            </w14:solidFill>
          </w14:textFill>
        </w:rPr>
      </w:pPr>
      <w:bookmarkStart w:id="0" w:name="_Hlk37145059"/>
      <w:r>
        <w:rPr>
          <w:rFonts w:hint="eastAsia" w:ascii="仿宋_GB2312" w:hAnsi="宋体"/>
          <w:bCs/>
          <w:color w:val="000000" w:themeColor="text1"/>
          <w:sz w:val="28"/>
          <w:szCs w:val="28"/>
          <w14:textFill>
            <w14:solidFill>
              <w14:schemeClr w14:val="tx1"/>
            </w14:solidFill>
          </w14:textFill>
        </w:rPr>
        <w:t>郑卫基   教授级高工</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福建省建筑工程技术中心</w:t>
      </w:r>
    </w:p>
    <w:p>
      <w:pPr>
        <w:widowControl/>
        <w:spacing w:line="500" w:lineRule="exact"/>
        <w:jc w:val="left"/>
        <w:rPr>
          <w:rFonts w:hint="eastAsia" w:ascii="仿宋_GB2312" w:hAnsi="宋体"/>
          <w:bCs/>
          <w:color w:val="000000" w:themeColor="text1"/>
          <w:sz w:val="28"/>
          <w:szCs w:val="28"/>
          <w14:textFill>
            <w14:solidFill>
              <w14:schemeClr w14:val="tx1"/>
            </w14:solidFill>
          </w14:textFill>
        </w:rPr>
      </w:pPr>
    </w:p>
    <w:p>
      <w:pPr>
        <w:widowControl/>
        <w:spacing w:line="500" w:lineRule="exact"/>
        <w:jc w:val="left"/>
        <w:rPr>
          <w:rFonts w:hint="default" w:ascii="仿宋_GB2312" w:hAnsi="宋体"/>
          <w:bCs/>
          <w:color w:val="000000" w:themeColor="text1"/>
          <w:sz w:val="28"/>
          <w:szCs w:val="28"/>
          <w:lang w:val="en-US" w:eastAsia="zh-CN"/>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夏</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昌</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教授级高工</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福州市规划设计研究院集团有限公司</w:t>
      </w:r>
    </w:p>
    <w:p>
      <w:pPr>
        <w:widowControl/>
        <w:spacing w:line="500" w:lineRule="exact"/>
        <w:jc w:val="left"/>
        <w:rPr>
          <w:rFonts w:hint="eastAsia" w:ascii="仿宋_GB2312" w:hAnsi="宋体"/>
          <w:bCs/>
          <w:color w:val="000000" w:themeColor="text1"/>
          <w:sz w:val="28"/>
          <w:szCs w:val="28"/>
          <w14:textFill>
            <w14:solidFill>
              <w14:schemeClr w14:val="tx1"/>
            </w14:solidFill>
          </w14:textFill>
        </w:rPr>
      </w:pPr>
    </w:p>
    <w:bookmarkEnd w:id="0"/>
    <w:p>
      <w:pPr>
        <w:widowControl/>
        <w:spacing w:line="500" w:lineRule="exact"/>
        <w:jc w:val="left"/>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eastAsia="zh-CN"/>
          <w14:textFill>
            <w14:solidFill>
              <w14:schemeClr w14:val="tx1"/>
            </w14:solidFill>
          </w14:textFill>
        </w:rPr>
        <w:t>洪</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lang w:eastAsia="zh-CN"/>
          <w14:textFill>
            <w14:solidFill>
              <w14:schemeClr w14:val="tx1"/>
            </w14:solidFill>
          </w14:textFill>
        </w:rPr>
        <w:t>志</w:t>
      </w:r>
      <w:r>
        <w:rPr>
          <w:rFonts w:hint="eastAsia" w:ascii="仿宋_GB2312" w:hAnsi="宋体"/>
          <w:bCs/>
          <w:color w:val="000000" w:themeColor="text1"/>
          <w:sz w:val="28"/>
          <w:szCs w:val="28"/>
          <w14:textFill>
            <w14:solidFill>
              <w14:schemeClr w14:val="tx1"/>
            </w14:solidFill>
          </w14:textFill>
        </w:rPr>
        <w:t xml:space="preserve">   高级工程师</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lang w:eastAsia="zh-CN"/>
          <w14:textFill>
            <w14:solidFill>
              <w14:schemeClr w14:val="tx1"/>
            </w14:solidFill>
          </w14:textFill>
        </w:rPr>
        <w:t>嘉博联合设计股份</w:t>
      </w:r>
      <w:r>
        <w:rPr>
          <w:rFonts w:hint="eastAsia" w:ascii="仿宋_GB2312" w:hAnsi="宋体"/>
          <w:bCs/>
          <w:color w:val="000000" w:themeColor="text1"/>
          <w:sz w:val="28"/>
          <w:szCs w:val="28"/>
          <w14:textFill>
            <w14:solidFill>
              <w14:schemeClr w14:val="tx1"/>
            </w14:solidFill>
          </w14:textFill>
        </w:rPr>
        <w:t xml:space="preserve">有限公司  </w:t>
      </w:r>
    </w:p>
    <w:p>
      <w:pPr>
        <w:widowControl/>
        <w:spacing w:line="500" w:lineRule="exact"/>
        <w:jc w:val="left"/>
        <w:rPr>
          <w:rFonts w:hint="default" w:ascii="仿宋_GB2312" w:hAnsi="宋体"/>
          <w:bCs/>
          <w:color w:val="000000" w:themeColor="text1"/>
          <w:sz w:val="28"/>
          <w:szCs w:val="28"/>
          <w:lang w:val="en-US" w:eastAsia="zh-CN"/>
          <w14:textFill>
            <w14:solidFill>
              <w14:schemeClr w14:val="tx1"/>
            </w14:solidFill>
          </w14:textFill>
        </w:rPr>
      </w:pPr>
    </w:p>
    <w:p>
      <w:pPr>
        <w:wordWrap w:val="0"/>
        <w:spacing w:line="560" w:lineRule="exact"/>
        <w:ind w:right="1120"/>
        <w:jc w:val="right"/>
        <w:rPr>
          <w:rFonts w:hint="eastAsia" w:ascii="仿宋_GB2312" w:hAnsi="宋体"/>
          <w:bCs/>
          <w:color w:val="000000" w:themeColor="text1"/>
          <w:sz w:val="28"/>
          <w:szCs w:val="28"/>
          <w:lang w:val="en-US" w:eastAsia="zh-CN"/>
          <w14:textFill>
            <w14:solidFill>
              <w14:schemeClr w14:val="tx1"/>
            </w14:solidFill>
          </w14:textFill>
        </w:rPr>
      </w:pPr>
      <w:r>
        <w:rPr>
          <w:rFonts w:hint="eastAsia" w:ascii="仿宋_GB2312" w:hAnsi="宋体"/>
          <w:bCs/>
          <w:color w:val="000000" w:themeColor="text1"/>
          <w:sz w:val="32"/>
          <w:szCs w:val="32"/>
          <w:lang w:val="en-US" w:eastAsia="zh-CN"/>
          <w14:textFill>
            <w14:solidFill>
              <w14:schemeClr w14:val="tx1"/>
            </w14:solidFill>
          </w14:textFill>
        </w:rPr>
        <w:t xml:space="preserve"> </w:t>
      </w:r>
      <w:r>
        <w:rPr>
          <w:rFonts w:hint="eastAsia" w:ascii="仿宋_GB2312" w:hAnsi="宋体"/>
          <w:bCs/>
          <w:color w:val="000000" w:themeColor="text1"/>
          <w:sz w:val="28"/>
          <w:szCs w:val="28"/>
          <w:lang w:val="en-US" w:eastAsia="zh-CN"/>
          <w14:textFill>
            <w14:solidFill>
              <w14:schemeClr w14:val="tx1"/>
            </w14:solidFill>
          </w14:textFill>
        </w:rPr>
        <w:t xml:space="preserve"> 2021年 05月 25日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F1"/>
    <w:rsid w:val="00001B22"/>
    <w:rsid w:val="00010964"/>
    <w:rsid w:val="00014F9D"/>
    <w:rsid w:val="00031127"/>
    <w:rsid w:val="0004477B"/>
    <w:rsid w:val="00046A04"/>
    <w:rsid w:val="00047EB2"/>
    <w:rsid w:val="0007069E"/>
    <w:rsid w:val="00077D10"/>
    <w:rsid w:val="000926B5"/>
    <w:rsid w:val="000D1E2F"/>
    <w:rsid w:val="000D4AAE"/>
    <w:rsid w:val="0010062D"/>
    <w:rsid w:val="00102AA7"/>
    <w:rsid w:val="001033B3"/>
    <w:rsid w:val="0010602A"/>
    <w:rsid w:val="00126E41"/>
    <w:rsid w:val="00132E0C"/>
    <w:rsid w:val="0014787D"/>
    <w:rsid w:val="00165380"/>
    <w:rsid w:val="0017310D"/>
    <w:rsid w:val="00183BD2"/>
    <w:rsid w:val="00194C1F"/>
    <w:rsid w:val="001C3C5E"/>
    <w:rsid w:val="001D5637"/>
    <w:rsid w:val="001E26E0"/>
    <w:rsid w:val="001E7EF4"/>
    <w:rsid w:val="001F36AF"/>
    <w:rsid w:val="001F6650"/>
    <w:rsid w:val="00201A39"/>
    <w:rsid w:val="002276C6"/>
    <w:rsid w:val="002418B9"/>
    <w:rsid w:val="002564A1"/>
    <w:rsid w:val="00256954"/>
    <w:rsid w:val="00264A07"/>
    <w:rsid w:val="00266F67"/>
    <w:rsid w:val="0027394F"/>
    <w:rsid w:val="00275074"/>
    <w:rsid w:val="00275F6B"/>
    <w:rsid w:val="002F1876"/>
    <w:rsid w:val="002F3645"/>
    <w:rsid w:val="00313EDE"/>
    <w:rsid w:val="00336B4A"/>
    <w:rsid w:val="00386DC6"/>
    <w:rsid w:val="00395FE2"/>
    <w:rsid w:val="003A075E"/>
    <w:rsid w:val="003A67F1"/>
    <w:rsid w:val="003B19E1"/>
    <w:rsid w:val="003C3DA3"/>
    <w:rsid w:val="003C5583"/>
    <w:rsid w:val="003F1080"/>
    <w:rsid w:val="003F29B4"/>
    <w:rsid w:val="00401717"/>
    <w:rsid w:val="00401DC9"/>
    <w:rsid w:val="00405489"/>
    <w:rsid w:val="004134B0"/>
    <w:rsid w:val="0042500C"/>
    <w:rsid w:val="00452851"/>
    <w:rsid w:val="00454C02"/>
    <w:rsid w:val="00470502"/>
    <w:rsid w:val="00470F87"/>
    <w:rsid w:val="00472DE0"/>
    <w:rsid w:val="00473323"/>
    <w:rsid w:val="00497AC5"/>
    <w:rsid w:val="004B0A0F"/>
    <w:rsid w:val="004B319C"/>
    <w:rsid w:val="004C1189"/>
    <w:rsid w:val="004D662F"/>
    <w:rsid w:val="004E0F00"/>
    <w:rsid w:val="00501F00"/>
    <w:rsid w:val="00515EDB"/>
    <w:rsid w:val="00542F98"/>
    <w:rsid w:val="00543AE6"/>
    <w:rsid w:val="00552FBD"/>
    <w:rsid w:val="00566CC9"/>
    <w:rsid w:val="00570225"/>
    <w:rsid w:val="005933D1"/>
    <w:rsid w:val="00593FED"/>
    <w:rsid w:val="005A4799"/>
    <w:rsid w:val="005B1F0A"/>
    <w:rsid w:val="005C24E9"/>
    <w:rsid w:val="005C70D8"/>
    <w:rsid w:val="005D20BF"/>
    <w:rsid w:val="005D5E31"/>
    <w:rsid w:val="005E4295"/>
    <w:rsid w:val="006207BF"/>
    <w:rsid w:val="00631A3C"/>
    <w:rsid w:val="00637807"/>
    <w:rsid w:val="0064431A"/>
    <w:rsid w:val="0065227A"/>
    <w:rsid w:val="00655515"/>
    <w:rsid w:val="006700FC"/>
    <w:rsid w:val="00672469"/>
    <w:rsid w:val="00683C5D"/>
    <w:rsid w:val="006917C5"/>
    <w:rsid w:val="0069432D"/>
    <w:rsid w:val="006A2D8E"/>
    <w:rsid w:val="006B3BF2"/>
    <w:rsid w:val="006E5018"/>
    <w:rsid w:val="006E72C0"/>
    <w:rsid w:val="00716E46"/>
    <w:rsid w:val="00720B01"/>
    <w:rsid w:val="007244D2"/>
    <w:rsid w:val="00725480"/>
    <w:rsid w:val="00737193"/>
    <w:rsid w:val="0076048A"/>
    <w:rsid w:val="00764349"/>
    <w:rsid w:val="007667C3"/>
    <w:rsid w:val="007877E5"/>
    <w:rsid w:val="007913A3"/>
    <w:rsid w:val="007B001B"/>
    <w:rsid w:val="007B100A"/>
    <w:rsid w:val="007B3262"/>
    <w:rsid w:val="007B3F05"/>
    <w:rsid w:val="007C0C62"/>
    <w:rsid w:val="007C41FD"/>
    <w:rsid w:val="007C5C37"/>
    <w:rsid w:val="007C5D22"/>
    <w:rsid w:val="007D542A"/>
    <w:rsid w:val="007F3ADF"/>
    <w:rsid w:val="007F43ED"/>
    <w:rsid w:val="007F7AD2"/>
    <w:rsid w:val="007F7F01"/>
    <w:rsid w:val="00835B9B"/>
    <w:rsid w:val="00835E6E"/>
    <w:rsid w:val="008409ED"/>
    <w:rsid w:val="008453FD"/>
    <w:rsid w:val="00871BF4"/>
    <w:rsid w:val="00881ECF"/>
    <w:rsid w:val="00892760"/>
    <w:rsid w:val="008A5380"/>
    <w:rsid w:val="008C0A7F"/>
    <w:rsid w:val="008C6CDB"/>
    <w:rsid w:val="008D0CE4"/>
    <w:rsid w:val="008D2374"/>
    <w:rsid w:val="008D34F1"/>
    <w:rsid w:val="008E68D6"/>
    <w:rsid w:val="008E7AA0"/>
    <w:rsid w:val="008F443E"/>
    <w:rsid w:val="008F4FA7"/>
    <w:rsid w:val="00951DA6"/>
    <w:rsid w:val="00954523"/>
    <w:rsid w:val="0097603E"/>
    <w:rsid w:val="00977FE9"/>
    <w:rsid w:val="00996017"/>
    <w:rsid w:val="009B0975"/>
    <w:rsid w:val="009B5AEA"/>
    <w:rsid w:val="009C1334"/>
    <w:rsid w:val="009D0729"/>
    <w:rsid w:val="009D74D2"/>
    <w:rsid w:val="009E3C0B"/>
    <w:rsid w:val="009F3F01"/>
    <w:rsid w:val="009F602B"/>
    <w:rsid w:val="00A06890"/>
    <w:rsid w:val="00A127BF"/>
    <w:rsid w:val="00A328CF"/>
    <w:rsid w:val="00A51CE5"/>
    <w:rsid w:val="00A57202"/>
    <w:rsid w:val="00A579A0"/>
    <w:rsid w:val="00A65FA3"/>
    <w:rsid w:val="00A87BC2"/>
    <w:rsid w:val="00A940B7"/>
    <w:rsid w:val="00AC2DF1"/>
    <w:rsid w:val="00AF222E"/>
    <w:rsid w:val="00AF39F0"/>
    <w:rsid w:val="00B00E2C"/>
    <w:rsid w:val="00B161FE"/>
    <w:rsid w:val="00B23714"/>
    <w:rsid w:val="00B331D6"/>
    <w:rsid w:val="00B37156"/>
    <w:rsid w:val="00B46B58"/>
    <w:rsid w:val="00B55F79"/>
    <w:rsid w:val="00B61F59"/>
    <w:rsid w:val="00B667C5"/>
    <w:rsid w:val="00B67A7F"/>
    <w:rsid w:val="00B71EB3"/>
    <w:rsid w:val="00B82041"/>
    <w:rsid w:val="00B97844"/>
    <w:rsid w:val="00BA5914"/>
    <w:rsid w:val="00BD3D08"/>
    <w:rsid w:val="00BE78A6"/>
    <w:rsid w:val="00BE7F9D"/>
    <w:rsid w:val="00BF7DEB"/>
    <w:rsid w:val="00C04DA3"/>
    <w:rsid w:val="00C06CF4"/>
    <w:rsid w:val="00C10669"/>
    <w:rsid w:val="00C11CF3"/>
    <w:rsid w:val="00C13A83"/>
    <w:rsid w:val="00C31A6B"/>
    <w:rsid w:val="00C33332"/>
    <w:rsid w:val="00C5093B"/>
    <w:rsid w:val="00C518AD"/>
    <w:rsid w:val="00C643A8"/>
    <w:rsid w:val="00C65907"/>
    <w:rsid w:val="00C75967"/>
    <w:rsid w:val="00C9015F"/>
    <w:rsid w:val="00CA6D8C"/>
    <w:rsid w:val="00CB3DB3"/>
    <w:rsid w:val="00CD5E97"/>
    <w:rsid w:val="00CE149E"/>
    <w:rsid w:val="00CE1C0D"/>
    <w:rsid w:val="00CE47E1"/>
    <w:rsid w:val="00CF2E1A"/>
    <w:rsid w:val="00D0565A"/>
    <w:rsid w:val="00D12B36"/>
    <w:rsid w:val="00D206DF"/>
    <w:rsid w:val="00D21431"/>
    <w:rsid w:val="00D4055C"/>
    <w:rsid w:val="00D8147B"/>
    <w:rsid w:val="00D81B07"/>
    <w:rsid w:val="00D863FF"/>
    <w:rsid w:val="00D9255A"/>
    <w:rsid w:val="00D94237"/>
    <w:rsid w:val="00DA012F"/>
    <w:rsid w:val="00DC1D70"/>
    <w:rsid w:val="00DE02C7"/>
    <w:rsid w:val="00DE251E"/>
    <w:rsid w:val="00DF3095"/>
    <w:rsid w:val="00E26CEA"/>
    <w:rsid w:val="00E3475D"/>
    <w:rsid w:val="00E42237"/>
    <w:rsid w:val="00E43326"/>
    <w:rsid w:val="00E53EAD"/>
    <w:rsid w:val="00E678F1"/>
    <w:rsid w:val="00E73862"/>
    <w:rsid w:val="00E74B2C"/>
    <w:rsid w:val="00E9304E"/>
    <w:rsid w:val="00E97743"/>
    <w:rsid w:val="00EA2F13"/>
    <w:rsid w:val="00EB3C07"/>
    <w:rsid w:val="00EC3F63"/>
    <w:rsid w:val="00EC740C"/>
    <w:rsid w:val="00EE00A5"/>
    <w:rsid w:val="00F06F3C"/>
    <w:rsid w:val="00F1702A"/>
    <w:rsid w:val="00F26D4E"/>
    <w:rsid w:val="00F411CB"/>
    <w:rsid w:val="00F506C3"/>
    <w:rsid w:val="00F52922"/>
    <w:rsid w:val="00F56423"/>
    <w:rsid w:val="00F57DBB"/>
    <w:rsid w:val="00F65F13"/>
    <w:rsid w:val="00F75491"/>
    <w:rsid w:val="00F9673B"/>
    <w:rsid w:val="00FA4649"/>
    <w:rsid w:val="00FB0E74"/>
    <w:rsid w:val="00FB1BD1"/>
    <w:rsid w:val="00FC00F3"/>
    <w:rsid w:val="00FC5B5C"/>
    <w:rsid w:val="00FF57E2"/>
    <w:rsid w:val="00FF5CD4"/>
    <w:rsid w:val="02AD602F"/>
    <w:rsid w:val="02AF00B3"/>
    <w:rsid w:val="02CE7EAB"/>
    <w:rsid w:val="03151AC3"/>
    <w:rsid w:val="055E2B4E"/>
    <w:rsid w:val="06B17687"/>
    <w:rsid w:val="0860640D"/>
    <w:rsid w:val="0BF36FF7"/>
    <w:rsid w:val="0C364933"/>
    <w:rsid w:val="0C540555"/>
    <w:rsid w:val="0D7350F2"/>
    <w:rsid w:val="0F0937F4"/>
    <w:rsid w:val="0FEB62E3"/>
    <w:rsid w:val="10527066"/>
    <w:rsid w:val="12485796"/>
    <w:rsid w:val="12750247"/>
    <w:rsid w:val="130B3D11"/>
    <w:rsid w:val="13A27F72"/>
    <w:rsid w:val="143A70B2"/>
    <w:rsid w:val="147C11FC"/>
    <w:rsid w:val="14B053A7"/>
    <w:rsid w:val="1539655D"/>
    <w:rsid w:val="153B386D"/>
    <w:rsid w:val="15F0183D"/>
    <w:rsid w:val="16940223"/>
    <w:rsid w:val="16C277E7"/>
    <w:rsid w:val="170008E4"/>
    <w:rsid w:val="181025D6"/>
    <w:rsid w:val="19554219"/>
    <w:rsid w:val="1A4816C0"/>
    <w:rsid w:val="1A4C6BBB"/>
    <w:rsid w:val="1B451AD7"/>
    <w:rsid w:val="1C471301"/>
    <w:rsid w:val="1DC21729"/>
    <w:rsid w:val="1DCC4B11"/>
    <w:rsid w:val="1FA3511C"/>
    <w:rsid w:val="2114547D"/>
    <w:rsid w:val="222375F7"/>
    <w:rsid w:val="227F5EAB"/>
    <w:rsid w:val="2304780B"/>
    <w:rsid w:val="25297BA2"/>
    <w:rsid w:val="252A5853"/>
    <w:rsid w:val="258716CB"/>
    <w:rsid w:val="258C32CA"/>
    <w:rsid w:val="26C023C4"/>
    <w:rsid w:val="27C5207C"/>
    <w:rsid w:val="288A2A7D"/>
    <w:rsid w:val="290D200E"/>
    <w:rsid w:val="290E5F8E"/>
    <w:rsid w:val="29F13054"/>
    <w:rsid w:val="2A763612"/>
    <w:rsid w:val="2AAB6872"/>
    <w:rsid w:val="2AEF07D4"/>
    <w:rsid w:val="2E0E3CD2"/>
    <w:rsid w:val="2EB441D0"/>
    <w:rsid w:val="2F2A0283"/>
    <w:rsid w:val="32AA10B9"/>
    <w:rsid w:val="35FF5A86"/>
    <w:rsid w:val="36307512"/>
    <w:rsid w:val="36520928"/>
    <w:rsid w:val="36CC4C76"/>
    <w:rsid w:val="370016E2"/>
    <w:rsid w:val="37FF6351"/>
    <w:rsid w:val="38A1306C"/>
    <w:rsid w:val="39BA2A24"/>
    <w:rsid w:val="3A957C68"/>
    <w:rsid w:val="3BDA5482"/>
    <w:rsid w:val="3C4A2BDA"/>
    <w:rsid w:val="3DDE15E1"/>
    <w:rsid w:val="3E59062F"/>
    <w:rsid w:val="3E612243"/>
    <w:rsid w:val="3FF52BA4"/>
    <w:rsid w:val="42984D94"/>
    <w:rsid w:val="42DF3068"/>
    <w:rsid w:val="43B66D3F"/>
    <w:rsid w:val="43CC6C26"/>
    <w:rsid w:val="452C451B"/>
    <w:rsid w:val="46B75B1B"/>
    <w:rsid w:val="47F30CCB"/>
    <w:rsid w:val="486662B1"/>
    <w:rsid w:val="48DB0A9A"/>
    <w:rsid w:val="495070E8"/>
    <w:rsid w:val="49604A66"/>
    <w:rsid w:val="4BB20089"/>
    <w:rsid w:val="4C1A4DC8"/>
    <w:rsid w:val="4C6B4EF9"/>
    <w:rsid w:val="4D026D32"/>
    <w:rsid w:val="4D2C74CB"/>
    <w:rsid w:val="4D9E569D"/>
    <w:rsid w:val="4FE64EF3"/>
    <w:rsid w:val="504A0E65"/>
    <w:rsid w:val="50675880"/>
    <w:rsid w:val="50C51AFA"/>
    <w:rsid w:val="53083639"/>
    <w:rsid w:val="539A53CE"/>
    <w:rsid w:val="53F0314D"/>
    <w:rsid w:val="54686BAD"/>
    <w:rsid w:val="5A7A1531"/>
    <w:rsid w:val="5B9E0AC4"/>
    <w:rsid w:val="5C040C64"/>
    <w:rsid w:val="5D2141E0"/>
    <w:rsid w:val="5D633F30"/>
    <w:rsid w:val="5E271827"/>
    <w:rsid w:val="5E797F0D"/>
    <w:rsid w:val="5F291774"/>
    <w:rsid w:val="5F43625E"/>
    <w:rsid w:val="5F6E2F1E"/>
    <w:rsid w:val="5FED1447"/>
    <w:rsid w:val="60FC3854"/>
    <w:rsid w:val="61DB24C0"/>
    <w:rsid w:val="62064B2C"/>
    <w:rsid w:val="62CA3B2A"/>
    <w:rsid w:val="62D30DE0"/>
    <w:rsid w:val="63CB4872"/>
    <w:rsid w:val="64E77E97"/>
    <w:rsid w:val="65462B98"/>
    <w:rsid w:val="66AA3B93"/>
    <w:rsid w:val="66F2063F"/>
    <w:rsid w:val="672D4B1D"/>
    <w:rsid w:val="678F5EDC"/>
    <w:rsid w:val="67D60C4A"/>
    <w:rsid w:val="686B09A7"/>
    <w:rsid w:val="68850F92"/>
    <w:rsid w:val="6A142F82"/>
    <w:rsid w:val="6B2D53B2"/>
    <w:rsid w:val="6B5B3387"/>
    <w:rsid w:val="6BC6086A"/>
    <w:rsid w:val="6C26114A"/>
    <w:rsid w:val="6E242CF9"/>
    <w:rsid w:val="722828EB"/>
    <w:rsid w:val="72C055D8"/>
    <w:rsid w:val="74691543"/>
    <w:rsid w:val="74742163"/>
    <w:rsid w:val="75E959AD"/>
    <w:rsid w:val="78E95987"/>
    <w:rsid w:val="793C11AE"/>
    <w:rsid w:val="7A5E1B09"/>
    <w:rsid w:val="7A6F2CDF"/>
    <w:rsid w:val="7B0336F0"/>
    <w:rsid w:val="7B160A7A"/>
    <w:rsid w:val="7B2D19F1"/>
    <w:rsid w:val="7BA65465"/>
    <w:rsid w:val="7BF417FA"/>
    <w:rsid w:val="7C6B473E"/>
    <w:rsid w:val="7C9C3B46"/>
    <w:rsid w:val="7EC2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link w:val="3"/>
    <w:qFormat/>
    <w:uiPriority w:val="0"/>
    <w:rPr>
      <w:kern w:val="2"/>
      <w:sz w:val="18"/>
      <w:szCs w:val="18"/>
    </w:rPr>
  </w:style>
  <w:style w:type="character" w:customStyle="1" w:styleId="8">
    <w:name w:val="页脚 字符"/>
    <w:link w:val="2"/>
    <w:qFormat/>
    <w:uiPriority w:val="0"/>
    <w:rPr>
      <w:kern w:val="2"/>
      <w:sz w:val="18"/>
      <w:szCs w:val="18"/>
    </w:rPr>
  </w:style>
  <w:style w:type="paragraph" w:customStyle="1" w:styleId="9">
    <w:name w:val="p0"/>
    <w:basedOn w:val="1"/>
    <w:qFormat/>
    <w:uiPriority w:val="0"/>
    <w:pPr>
      <w:widowControl/>
    </w:pPr>
    <w:rPr>
      <w:kern w:val="0"/>
      <w:sz w:val="32"/>
      <w:szCs w:val="32"/>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福州市建筑设计院</Company>
  <Pages>2</Pages>
  <Words>898</Words>
  <Characters>307</Characters>
  <Lines>2</Lines>
  <Paragraphs>2</Paragraphs>
  <TotalTime>20</TotalTime>
  <ScaleCrop>false</ScaleCrop>
  <LinksUpToDate>false</LinksUpToDate>
  <CharactersWithSpaces>1203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2019-06-19T02:15:00Z</dcterms:created>
  <dc:creator>设备用户</dc:creator>
  <cp:lastModifiedBy>安宸</cp:lastModifiedBy>
  <cp:lastPrinted>2021-06-28T07:30:50Z</cp:lastPrinted>
  <dcterms:modified xsi:type="dcterms:W3CDTF">2021-06-28T07:30:56Z</dcterms:modified>
  <dc:title>福兴经济开发区提升改造项目C1地块</dc:title>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6F969C2B48194765A7969A029361BA45</vt:lpwstr>
  </property>
</Properties>
</file>