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szCs w:val="22"/>
          <w:u w:val="single"/>
          <w:lang w:val="en-US" w:eastAsia="zh-CN"/>
        </w:rPr>
        <w:t xml:space="preserve">3501022006150103    </w:t>
      </w:r>
      <w:r>
        <w:rPr>
          <w:rFonts w:eastAsia="Times New Roman"/>
          <w:b/>
          <w:u w:val="single"/>
        </w:rPr>
        <w:t xml:space="preserve">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       福建鑫惠酒店       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hint="eastAsia" w:eastAsia="宋体"/>
          <w:b/>
          <w:u w:val="single"/>
          <w:lang w:eastAsia="zh-CN"/>
        </w:rPr>
        <w:t>福建鑫惠投资有限公司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  <w:lang w:val="en-US" w:eastAsia="zh-CN"/>
        </w:rPr>
        <w:t>福州市住房和城乡建设局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u w:val="single"/>
          <w:lang w:val="en-US" w:eastAsia="zh-CN"/>
        </w:rPr>
        <w:t>2021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hAnsi="宋体"/>
          <w:b/>
        </w:rPr>
        <w:t>年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仿宋"/>
          <w:b/>
          <w:u w:val="single"/>
          <w:lang w:val="en-US" w:eastAsia="zh-CN"/>
        </w:rPr>
        <w:t>8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月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>9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440" w:lineRule="atLeast"/>
        <w:jc w:val="center"/>
        <w:rPr>
          <w:rFonts w:ascii="方正小标宋简体" w:eastAsia="方正小标宋简体"/>
          <w:bCs/>
          <w:sz w:val="44"/>
        </w:rPr>
      </w:pPr>
      <w:r>
        <w:rPr>
          <w:rFonts w:eastAsia="Times New Roman"/>
          <w:bCs/>
          <w:sz w:val="44"/>
        </w:rPr>
        <w:br w:type="page"/>
      </w:r>
      <w:r>
        <w:rPr>
          <w:rFonts w:hint="eastAsia" w:ascii="方正小标宋简体" w:hAnsi="黑体" w:eastAsia="方正小标宋简体"/>
          <w:bCs/>
          <w:sz w:val="44"/>
        </w:rPr>
        <w:t>填写说明</w:t>
      </w:r>
    </w:p>
    <w:p>
      <w:pPr>
        <w:spacing w:line="440" w:lineRule="atLeast"/>
        <w:jc w:val="center"/>
        <w:rPr>
          <w:rFonts w:hint="eastAsia" w:eastAsia="黑体"/>
          <w:bCs/>
          <w:sz w:val="44"/>
        </w:rPr>
      </w:pP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1</w:t>
      </w:r>
      <w:r>
        <w:rPr>
          <w:rFonts w:hint="eastAsia" w:hAnsi="仿宋_GB2312"/>
          <w:szCs w:val="32"/>
        </w:rPr>
        <w:t>．申报表一律采用小四号仿宋字体填写，以</w:t>
      </w:r>
      <w:r>
        <w:rPr>
          <w:szCs w:val="32"/>
        </w:rPr>
        <w:t>A4</w:t>
      </w:r>
      <w:r>
        <w:rPr>
          <w:rFonts w:hint="eastAsia" w:hAnsi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2</w:t>
      </w:r>
      <w:r>
        <w:rPr>
          <w:rFonts w:hint="eastAsia" w:hAnsi="仿宋_GB2312"/>
          <w:szCs w:val="32"/>
        </w:rPr>
        <w:t>．申报表封面的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项目名称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与施工许可证的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工程名称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应一致。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3</w:t>
      </w:r>
      <w:r>
        <w:rPr>
          <w:rFonts w:hint="eastAsia"/>
          <w:szCs w:val="32"/>
        </w:rPr>
        <w:t>．</w:t>
      </w:r>
      <w:r>
        <w:rPr>
          <w:rFonts w:hint="eastAsia" w:hAnsi="仿宋_GB2312"/>
          <w:szCs w:val="32"/>
        </w:rPr>
        <w:t>项目涉及的设计、施工、监理、部品部件生产单位暂未确定的填写</w:t>
      </w:r>
      <w:r>
        <w:rPr>
          <w:szCs w:val="32"/>
        </w:rPr>
        <w:t>“</w:t>
      </w:r>
      <w:r>
        <w:rPr>
          <w:rFonts w:hint="eastAsia" w:hAnsi="仿宋_GB2312"/>
          <w:szCs w:val="32"/>
        </w:rPr>
        <w:t>未确定</w:t>
      </w:r>
      <w:r>
        <w:rPr>
          <w:szCs w:val="32"/>
        </w:rPr>
        <w:t>”</w:t>
      </w:r>
      <w:r>
        <w:rPr>
          <w:rFonts w:hint="eastAsia" w:hAnsi="仿宋_GB2312"/>
          <w:szCs w:val="32"/>
        </w:rPr>
        <w:t>。</w:t>
      </w: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360" w:lineRule="auto"/>
        <w:ind w:firstLine="640" w:firstLineChars="200"/>
        <w:rPr>
          <w:szCs w:val="32"/>
        </w:rPr>
      </w:pPr>
    </w:p>
    <w:p>
      <w:pPr>
        <w:spacing w:line="240" w:lineRule="atLeast"/>
        <w:rPr>
          <w:sz w:val="30"/>
          <w:szCs w:val="22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</w:p>
    <w:p>
      <w:pPr>
        <w:spacing w:line="240" w:lineRule="atLeast"/>
        <w:rPr>
          <w:sz w:val="30"/>
        </w:rPr>
      </w:pPr>
      <w:r>
        <w:rPr>
          <w:sz w:val="30"/>
        </w:rPr>
        <w:br w:type="page"/>
      </w:r>
    </w:p>
    <w:tbl>
      <w:tblPr>
        <w:tblStyle w:val="4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58"/>
        <w:gridCol w:w="1233"/>
        <w:gridCol w:w="955"/>
        <w:gridCol w:w="265"/>
        <w:gridCol w:w="561"/>
        <w:gridCol w:w="182"/>
        <w:gridCol w:w="904"/>
        <w:gridCol w:w="282"/>
        <w:gridCol w:w="622"/>
        <w:gridCol w:w="735"/>
        <w:gridCol w:w="168"/>
        <w:gridCol w:w="904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9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建筑类型</w:t>
            </w:r>
          </w:p>
        </w:tc>
        <w:tc>
          <w:tcPr>
            <w:tcW w:w="77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居住建筑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公共建筑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其他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申请评价阶段</w:t>
            </w:r>
          </w:p>
        </w:tc>
        <w:tc>
          <w:tcPr>
            <w:tcW w:w="77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设计阶段预评价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 w:ascii="仿宋_GB2312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</w:rPr>
              <w:t>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7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福建鑫惠酒店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项目所在地</w:t>
            </w:r>
          </w:p>
        </w:tc>
        <w:tc>
          <w:tcPr>
            <w:tcW w:w="77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eastAsia="仿宋_GB2312"/>
                <w:sz w:val="24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福州市鼓楼区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实施装配式建造情况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装配式建筑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栋号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结构类型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1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围护墙和内隔墙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rFonts w:hint="eastAsia"/>
                <w:sz w:val="18"/>
                <w:szCs w:val="18"/>
              </w:rPr>
              <w:t>装修与设备管线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3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</w:t>
            </w:r>
            <w:r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  <w:vertAlign w:val="subscript"/>
              </w:rPr>
              <w:t>4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单体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装配率（</w:t>
            </w:r>
            <w:r>
              <w:rPr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1#-b楼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180" w:hanging="180" w:hangingChars="10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sym w:font="Wingdings 2" w:char="0052"/>
            </w:r>
            <w:r>
              <w:rPr>
                <w:rFonts w:hint="eastAsia" w:ascii="仿宋_GB2312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73" w:firstLineChars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混凝土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ind w:left="180" w:hanging="180" w:hangingChars="10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left="179" w:leftChars="56"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钢结构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木结构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□ </w:t>
            </w:r>
            <w:r>
              <w:rPr>
                <w:rFonts w:hint="eastAsia"/>
                <w:sz w:val="18"/>
                <w:szCs w:val="18"/>
              </w:rPr>
              <w:t>装配式</w:t>
            </w:r>
          </w:p>
          <w:p>
            <w:pPr>
              <w:spacing w:line="240" w:lineRule="exact"/>
              <w:ind w:firstLine="253" w:firstLineChars="1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混合结构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24860.08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建设单位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30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福建省鑫惠投资有限公司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台江区鳌峰广场A栋23F</w:t>
            </w:r>
          </w:p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30"/>
                <w:szCs w:val="22"/>
                <w:lang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30"/>
                <w:szCs w:val="22"/>
                <w:lang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代建单位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_GB2312"/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设计单位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福建省林业勘察设计院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szCs w:val="24"/>
                <w:lang w:val="en-US" w:eastAsia="zh-CN"/>
              </w:rPr>
              <w:t>福州市鼓楼区北环中路148号中建大厦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30"/>
                <w:szCs w:val="22"/>
                <w:lang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default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深化设计单位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30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福建省林业勘察设计院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default"/>
                <w:sz w:val="24"/>
                <w:szCs w:val="22"/>
                <w:lang w:val="en-US" w:eastAsia="zh-CN"/>
              </w:rPr>
              <w:t>福州市鼓楼区北环中路148号中建大厦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施工单位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未确定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监理单位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未确定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部品部件生产单位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未确定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>电话</w:t>
            </w:r>
          </w:p>
        </w:tc>
        <w:tc>
          <w:tcPr>
            <w:tcW w:w="1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</w:p>
        </w:tc>
      </w:tr>
    </w:tbl>
    <w:p>
      <w:pPr>
        <w:rPr>
          <w:rFonts w:ascii="Calibri" w:hAnsi="Calibri" w:eastAsia="微软雅黑"/>
          <w:sz w:val="21"/>
          <w:szCs w:val="22"/>
        </w:rPr>
      </w:pPr>
      <w: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3670"/>
        <w:gridCol w:w="3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z w:val="30"/>
                <w:szCs w:val="22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设计阶段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2021年5月-2021年7月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建设准备阶段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2021年8月-2021年9月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建设实施阶段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2021年10月-2023年12月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竣工验收阶段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2024年1月-2024年6月</w:t>
            </w:r>
          </w:p>
        </w:tc>
        <w:tc>
          <w:tcPr>
            <w:tcW w:w="3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0" w:hRule="atLeast"/>
          <w:jc w:val="center"/>
        </w:trPr>
        <w:tc>
          <w:tcPr>
            <w:tcW w:w="9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sz w:val="30"/>
                <w:szCs w:val="22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项目基地位于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福州市鼓楼区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。总建筑面积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65105.62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平方米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总建筑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计容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面积：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41020.02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平方米。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其中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上部结构采用工业化方式建造，装配建筑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计容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面积：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24842.45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‬平方米，占建筑面积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%；装配式预制构件采用预制叠合板、预制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内隔墙、预制叠合梁，预制楼梯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建筑单体装配率</w:t>
            </w:r>
            <w:r>
              <w:rPr>
                <w:rFonts w:hint="eastAsia" w:ascii="仿宋_GB2312"/>
                <w:sz w:val="24"/>
                <w:szCs w:val="24"/>
              </w:rPr>
              <w:t>均≥50%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本工程施工图设计文件已于20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日通过审查。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审查机构：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福州市建设工程施工图审查中心有限公司</w:t>
            </w:r>
          </w:p>
          <w:p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审查合格书编号：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3501022006150103-TX-002</w:t>
            </w: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</w:rPr>
            </w:pPr>
          </w:p>
          <w:p>
            <w:pPr>
              <w:rPr>
                <w:sz w:val="30"/>
                <w:szCs w:val="22"/>
              </w:rPr>
            </w:pPr>
          </w:p>
        </w:tc>
      </w:tr>
    </w:tbl>
    <w:p>
      <w:pPr>
        <w:widowControl/>
        <w:jc w:val="left"/>
        <w:rPr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474" w:header="851" w:footer="992" w:gutter="0"/>
          <w:pgNumType w:fmt="numberInDash" w:start="1"/>
          <w:cols w:space="720" w:num="1"/>
        </w:sectPr>
      </w:pPr>
    </w:p>
    <w:p>
      <w:pPr>
        <w:rPr>
          <w:rFonts w:ascii="Calibri" w:hAnsi="Calibri" w:eastAsia="微软雅黑"/>
          <w:sz w:val="21"/>
          <w:szCs w:val="22"/>
        </w:rPr>
      </w:pP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842"/>
        <w:gridCol w:w="170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主体结构应用情况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1.1水平构件中预制部品部件的应用比例计算：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20"/>
              <w:gridCol w:w="1575"/>
              <w:gridCol w:w="1281"/>
              <w:gridCol w:w="1281"/>
              <w:gridCol w:w="1281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预制部品部件的应用比例Q1b(%)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2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  <w:lang w:val="en-US" w:eastAsia="zh-CN"/>
                    </w:rPr>
                    <w:t>1#-b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lang w:val="en-US" w:eastAsia="zh-CN" w:bidi="ar"/>
                    </w:rPr>
                    <w:t>19186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lang w:val="en-US" w:eastAsia="zh-CN" w:bidi="ar"/>
                    </w:rPr>
                    <w:t>23971.1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128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30</w:t>
                  </w:r>
                </w:p>
              </w:tc>
            </w:tr>
          </w:tbl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/>
                <w:bCs/>
                <w:sz w:val="24"/>
                <w:szCs w:val="24"/>
              </w:rPr>
              <w:t>装配式建筑设计标准化、模数化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.1、本项目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存在不符合1M基本模数整倍数的轴线尺寸，</w:t>
            </w:r>
          </w:p>
          <w:p>
            <w:pPr>
              <w:spacing w:line="400" w:lineRule="exact"/>
              <w:ind w:left="480" w:leftChars="150" w:firstLine="0" w:firstLineChars="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不存在不符合扩大模数2M、3M整倍数的楼梯间开间及进深的轴线尺寸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不存在不符合1M基本模数整倍数的层高，</w:t>
            </w:r>
          </w:p>
          <w:p>
            <w:pPr>
              <w:spacing w:line="400" w:lineRule="exact"/>
              <w:ind w:left="480" w:leftChars="150" w:firstLine="0" w:firstLineChars="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根据《福建省装配式建筑评价管理办法（试行）》闽建〔2020〕4号文规定，此项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不扣分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；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部品部件通用化得分计算：</w:t>
            </w:r>
          </w:p>
          <w:p>
            <w:pPr>
              <w:spacing w:line="40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.1、本项目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叠合板轮廓尺寸为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1820×1200×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60的预制叠合板个数为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204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块；轮廓尺寸相同的预制构件个数＞200，根据《福建省装配式建筑评价管理办法（试行）》闽建〔2020〕4号文规定，此项得2分。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综上，根据《福建省装配式建筑评价管理办法（试行）》闽建〔2020〕4号文规定，本项目主体结构Q1总得分为：</w:t>
            </w:r>
          </w:p>
          <w:p>
            <w:pPr>
              <w:spacing w:line="400" w:lineRule="exact"/>
              <w:ind w:firstLine="720" w:firstLineChars="3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  <w:szCs w:val="24"/>
                <w:lang w:val="en-US" w:eastAsia="zh-CN"/>
              </w:rPr>
              <w:t>1#-b</w:t>
            </w:r>
            <w:r>
              <w:rPr>
                <w:rFonts w:hint="eastAsia" w:ascii="仿宋_GB2312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Q1=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30+2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</w:p>
          <w:p>
            <w:pPr>
              <w:spacing w:line="400" w:lineRule="exact"/>
              <w:rPr>
                <w:rFonts w:hint="default" w:ascii="仿宋_GB2312" w:eastAsia="仿宋_GB2312"/>
                <w:sz w:val="24"/>
                <w:szCs w:val="22"/>
                <w:lang w:val="en-US" w:eastAsia="zh-CN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．围护墙和内隔墙应用情况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本项目1#-b楼部分外墙采用预制外幕墙，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外幕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墙应用比例计算如下表：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3"/>
              <w:gridCol w:w="1559"/>
              <w:gridCol w:w="1268"/>
              <w:gridCol w:w="1268"/>
              <w:gridCol w:w="11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eastAsia="zh-CN"/>
                    </w:rPr>
                    <w:t>非承重围护墙非砌筑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val="en-US" w:eastAsia="zh-CN"/>
                    </w:rPr>
                    <w:t>外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  <w:lang w:eastAsia="zh-CN"/>
                    </w:rPr>
                    <w:t>非承重围护墙非砌筑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应用比例Q2c(%)</w:t>
                  </w:r>
                </w:p>
              </w:tc>
              <w:tc>
                <w:tcPr>
                  <w:tcW w:w="11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ind w:left="480" w:hanging="480" w:hangingChars="200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评价分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  <w:t>Q2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03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  <w:lang w:val="en-US" w:eastAsia="zh-CN"/>
                    </w:rPr>
                    <w:t>1#-b</w:t>
                  </w:r>
                  <w:r>
                    <w:rPr>
                      <w:rFonts w:hint="eastAsia" w:ascii="仿宋_GB2312" w:hAnsi="仿宋_GB2312" w:cs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8297.5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10364.8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bidi="ar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1168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bidi="ar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  <w:lang w:bidi="ar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非承重围护墙非砌筑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应用比例大于80%，根据《福建省装配式建筑评价管理办法（试行）》闽建〔2020〕4号文规定，本项目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围护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墙非砌筑得分为Q2=10分。</w:t>
            </w:r>
          </w:p>
          <w:p>
            <w:pPr>
              <w:spacing w:line="56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．装修和设备管线应用情况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1#-b楼未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采用全装修施工，此项得分为Q3=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3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．技术创新应用情况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技术，在设计阶段提供主体结构、满足钢筋碰撞检查要求的预制构件B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模型、装配式内隔墙的全专业</w:t>
            </w:r>
            <w:r>
              <w:rPr>
                <w:rFonts w:ascii="仿宋_GB2312" w:hAnsi="仿宋_GB2312" w:cs="仿宋_GB2312"/>
                <w:sz w:val="24"/>
                <w:szCs w:val="24"/>
              </w:rPr>
              <w:t>BIM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模型，根据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规定可得分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本项目采用可追溯系统，得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1#-b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得分为Q4=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hint="eastAsia" w:ascii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福建鑫惠投资有限公司属于有限责任公司，公司成立于2020年5月26日。经营范围包括许可项目：对建筑业的投资；对住宿和餐饮业的投资；对租赁和商务服务业的投资；对教育业的投资；科技会展服务；旅游会展服务；对文化、体育和娱乐业的投资；文化会展服务；自有商业房屋租赁服务。（依法必须经批准的项目，经相关部门批准后方可开展经营活动）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eastAsia="微软雅黑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姓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职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 w:hAnsi="宋体"/>
                <w:sz w:val="24"/>
              </w:rPr>
              <w:t>称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30"/>
                <w:szCs w:val="22"/>
              </w:rPr>
            </w:pPr>
            <w:r>
              <w:rPr>
                <w:rFonts w:hint="eastAsia" w:ascii="仿宋_GB2312" w:hAnsi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300" w:firstLineChars="100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  <w:r>
              <w:rPr>
                <w:rFonts w:hint="eastAsia" w:ascii="仿宋_GB2312" w:hAnsi="宋体"/>
                <w:sz w:val="24"/>
                <w:szCs w:val="22"/>
                <w:lang w:eastAsia="zh-CN"/>
              </w:rPr>
              <w:t>业主代表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300" w:firstLineChars="100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  <w:r>
              <w:rPr>
                <w:rFonts w:hint="eastAsia" w:ascii="仿宋_GB2312" w:hAnsi="宋体"/>
                <w:sz w:val="24"/>
                <w:szCs w:val="22"/>
                <w:lang w:eastAsia="zh-CN"/>
              </w:rPr>
              <w:t>设计师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  <w:r>
              <w:rPr>
                <w:rFonts w:hint="eastAsia" w:ascii="仿宋_GB2312" w:hAnsi="宋体"/>
                <w:sz w:val="24"/>
                <w:szCs w:val="22"/>
                <w:lang w:eastAsia="zh-CN"/>
              </w:rPr>
              <w:t>中级工程师</w:t>
            </w: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0"/>
                <w:szCs w:val="22"/>
                <w:lang w:eastAsia="zh-CN"/>
              </w:rPr>
            </w:pPr>
            <w:r>
              <w:rPr>
                <w:rFonts w:hint="eastAsia" w:ascii="仿宋_GB2312" w:hAnsi="宋体"/>
                <w:sz w:val="24"/>
                <w:szCs w:val="22"/>
                <w:lang w:eastAsia="zh-CN"/>
              </w:rPr>
              <w:t>设计主要负责人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  <w:bookmarkStart w:id="0" w:name="_GoBack"/>
            <w:bookmarkEnd w:id="0"/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仿宋_GB2312"/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  <w:tc>
          <w:tcPr>
            <w:tcW w:w="4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30"/>
                <w:szCs w:val="22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240"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1.本项目围护墙为幕墙板和定制窗户，外幕墙板和窗户采用工厂规格化生产，现场装配式安装，可以有效减少现场湿作业，加快施工效率，缩短工期，减少环境污染。 </w:t>
            </w:r>
          </w:p>
          <w:p>
            <w:pPr>
              <w:spacing w:line="560" w:lineRule="exact"/>
              <w:ind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2.本项目叠合板设计遵循少规格、多组合的原则，力求做到安全适用、技术先进、经济合理、质量可靠。</w:t>
            </w:r>
          </w:p>
          <w:p>
            <w:pPr>
              <w:spacing w:line="560" w:lineRule="exact"/>
              <w:ind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3.通过 BIM 技术的三维空间特性，对复杂结构进行碰撞检查，对关键部位节点进行碰撞检查优化钢筋排布，生成预制构件制造图及物料清单，有效提高装配式建筑构件生产、施工吊装、工程造价、运维等生命周期的效率与质量。</w:t>
            </w:r>
          </w:p>
          <w:p>
            <w:pPr>
              <w:spacing w:line="56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spacing w:line="56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实施装配式建造，其中主体结构部分的分值不低于30分，围护墙和内隔墙部分的分值不低于10分，技术创新的分值不低于5分，装配率不低于50%，符合《福建省装配式建筑评价管理办法（试行）》闽建〔2020〕4号文中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  <w:lang w:eastAsia="zh-CN"/>
              </w:rPr>
              <w:t>的相关</w:t>
            </w:r>
            <w:r>
              <w:rPr>
                <w:rFonts w:hint="eastAsia" w:ascii="仿宋_GB2312" w:hAnsi="仿宋_GB2312" w:cs="仿宋_GB2312"/>
                <w:bCs/>
                <w:sz w:val="24"/>
                <w:szCs w:val="24"/>
              </w:rPr>
              <w:t>规定，现申请装配式建筑实施方案专项审查。</w:t>
            </w:r>
          </w:p>
          <w:p>
            <w:pPr>
              <w:snapToGrid w:val="0"/>
              <w:spacing w:line="480" w:lineRule="exact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</w:p>
          <w:p>
            <w:pPr>
              <w:snapToGrid w:val="0"/>
              <w:spacing w:line="480" w:lineRule="exact"/>
              <w:rPr>
                <w:rFonts w:hint="default" w:eastAsia="仿宋_GB2312"/>
                <w:sz w:val="30"/>
                <w:szCs w:val="22"/>
                <w:lang w:val="en-US" w:eastAsia="zh-CN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6840" w:firstLineChars="285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>2021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  <w:lang w:val="en-US" w:eastAsia="zh-CN"/>
              </w:rPr>
              <w:t>9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500" w:lineRule="exact"/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工程采用装配式建造的建筑计容面积大于新建地上计容面积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%，满足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福州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市人民政府文件榕政综〔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〕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1164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号文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相关要求。</w:t>
            </w:r>
          </w:p>
          <w:p>
            <w:pPr>
              <w:spacing w:line="500" w:lineRule="exact"/>
              <w:ind w:firstLine="480" w:firstLineChars="20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（2）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工程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装配式建筑设计相关资料完整，其主体结构、围护墙和内隔墙、技术创新部分的分值均不低于最低分值要求，各单体建筑装配率均不低于50%，符合《福建省装配式建筑评价管理办法（试行）》（闽建〔2020〕4号）的相关规定，同意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工程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设计阶段评价为装配式建筑。</w:t>
            </w:r>
          </w:p>
          <w:p>
            <w:pPr>
              <w:spacing w:line="5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结论：同意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工程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1#-b楼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设计阶段认定为装配式建筑。</w:t>
            </w: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spacing w:line="560" w:lineRule="exact"/>
              <w:rPr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right"/>
              <w:rPr>
                <w:rFonts w:hint="eastAsia" w:hAnsi="仿宋_GB2312"/>
                <w:sz w:val="24"/>
                <w:szCs w:val="24"/>
              </w:rPr>
            </w:pPr>
          </w:p>
          <w:p>
            <w:pPr>
              <w:wordWrap w:val="0"/>
              <w:spacing w:line="560" w:lineRule="exact"/>
              <w:ind w:right="360"/>
              <w:jc w:val="right"/>
              <w:rPr>
                <w:sz w:val="24"/>
                <w:szCs w:val="24"/>
              </w:rPr>
            </w:pPr>
            <w:r>
              <w:rPr>
                <w:rFonts w:hint="eastAsia" w:hAnsi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sz w:val="30"/>
                <w:szCs w:val="22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spacing w:line="560" w:lineRule="exact"/>
              <w:rPr>
                <w:sz w:val="30"/>
              </w:rPr>
            </w:pPr>
          </w:p>
          <w:p>
            <w:pPr>
              <w:ind w:firstLine="7200" w:firstLineChars="3000"/>
              <w:rPr>
                <w:rFonts w:ascii="仿宋_GB2312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（盖章）</w:t>
            </w: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spacing w:line="560" w:lineRule="exact"/>
              <w:rPr>
                <w:sz w:val="30"/>
                <w:szCs w:val="22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年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月</w:t>
            </w:r>
            <w:r>
              <w:rPr>
                <w:rFonts w:hint="eastAsia" w:ascii="仿宋_GB2312"/>
                <w:sz w:val="24"/>
              </w:rPr>
              <w:t xml:space="preserve">      </w:t>
            </w:r>
            <w:r>
              <w:rPr>
                <w:rFonts w:hint="eastAsia" w:ascii="仿宋_GB2312" w:hAnsi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10717"/>
    <w:multiLevelType w:val="singleLevel"/>
    <w:tmpl w:val="DDB1071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24265AF"/>
    <w:multiLevelType w:val="singleLevel"/>
    <w:tmpl w:val="E24265A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4DE7"/>
    <w:rsid w:val="064A710E"/>
    <w:rsid w:val="069B3408"/>
    <w:rsid w:val="077430A8"/>
    <w:rsid w:val="07BB6736"/>
    <w:rsid w:val="07F816F8"/>
    <w:rsid w:val="080A32C2"/>
    <w:rsid w:val="0A34081A"/>
    <w:rsid w:val="0BC1638D"/>
    <w:rsid w:val="0F7B0480"/>
    <w:rsid w:val="10D15FA2"/>
    <w:rsid w:val="118A0365"/>
    <w:rsid w:val="137429AE"/>
    <w:rsid w:val="13794614"/>
    <w:rsid w:val="13FC35A3"/>
    <w:rsid w:val="16670CCE"/>
    <w:rsid w:val="16CD2B47"/>
    <w:rsid w:val="16E159E1"/>
    <w:rsid w:val="185111C8"/>
    <w:rsid w:val="19C15492"/>
    <w:rsid w:val="1BA82CD6"/>
    <w:rsid w:val="1C2E6F52"/>
    <w:rsid w:val="1C702FDA"/>
    <w:rsid w:val="1D2A7F2E"/>
    <w:rsid w:val="1DD81F6D"/>
    <w:rsid w:val="20F93E73"/>
    <w:rsid w:val="21A61866"/>
    <w:rsid w:val="236D7AB3"/>
    <w:rsid w:val="23782244"/>
    <w:rsid w:val="279B03BB"/>
    <w:rsid w:val="28A312D5"/>
    <w:rsid w:val="2C77198A"/>
    <w:rsid w:val="2CF35CA8"/>
    <w:rsid w:val="2D23042D"/>
    <w:rsid w:val="2D4850A1"/>
    <w:rsid w:val="314F7719"/>
    <w:rsid w:val="316B387E"/>
    <w:rsid w:val="36793321"/>
    <w:rsid w:val="372104C0"/>
    <w:rsid w:val="37DD494A"/>
    <w:rsid w:val="3BB12E89"/>
    <w:rsid w:val="40EA72E1"/>
    <w:rsid w:val="414146DC"/>
    <w:rsid w:val="43806C9D"/>
    <w:rsid w:val="44C15E7A"/>
    <w:rsid w:val="456111E4"/>
    <w:rsid w:val="471758B5"/>
    <w:rsid w:val="479A508B"/>
    <w:rsid w:val="485533B5"/>
    <w:rsid w:val="49313AEB"/>
    <w:rsid w:val="49760F14"/>
    <w:rsid w:val="4C0C11F2"/>
    <w:rsid w:val="4F8A393E"/>
    <w:rsid w:val="4F94208A"/>
    <w:rsid w:val="507E2F16"/>
    <w:rsid w:val="508A5BFE"/>
    <w:rsid w:val="52933DAC"/>
    <w:rsid w:val="534E47C6"/>
    <w:rsid w:val="545A1EB8"/>
    <w:rsid w:val="59B7256B"/>
    <w:rsid w:val="5A667BFB"/>
    <w:rsid w:val="5B414490"/>
    <w:rsid w:val="5B9D475B"/>
    <w:rsid w:val="5C074D4C"/>
    <w:rsid w:val="5D264FA0"/>
    <w:rsid w:val="5D2C0D71"/>
    <w:rsid w:val="61AD5746"/>
    <w:rsid w:val="6396666C"/>
    <w:rsid w:val="65457D67"/>
    <w:rsid w:val="666939ED"/>
    <w:rsid w:val="67152455"/>
    <w:rsid w:val="678868E5"/>
    <w:rsid w:val="67B160CB"/>
    <w:rsid w:val="68311D68"/>
    <w:rsid w:val="69925828"/>
    <w:rsid w:val="6A796804"/>
    <w:rsid w:val="6B28454D"/>
    <w:rsid w:val="6B5C311F"/>
    <w:rsid w:val="6CE76860"/>
    <w:rsid w:val="6DC51EBF"/>
    <w:rsid w:val="6EBF66D1"/>
    <w:rsid w:val="6ECE1B96"/>
    <w:rsid w:val="70676C9C"/>
    <w:rsid w:val="71AC0B60"/>
    <w:rsid w:val="724228A4"/>
    <w:rsid w:val="72C3572F"/>
    <w:rsid w:val="72D81251"/>
    <w:rsid w:val="73A81E8E"/>
    <w:rsid w:val="73F62147"/>
    <w:rsid w:val="75BC42B9"/>
    <w:rsid w:val="77CD7BD4"/>
    <w:rsid w:val="7BE27529"/>
    <w:rsid w:val="7DAF798F"/>
    <w:rsid w:val="7F5834C9"/>
    <w:rsid w:val="7F8D5207"/>
    <w:rsid w:val="7FB1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first-child"/>
    <w:basedOn w:val="5"/>
    <w:qFormat/>
    <w:uiPriority w:val="0"/>
  </w:style>
  <w:style w:type="character" w:customStyle="1" w:styleId="8">
    <w:name w:val="widget-text-light"/>
    <w:basedOn w:val="5"/>
    <w:uiPriority w:val="0"/>
    <w:rPr>
      <w:color w:val="F9DC9A"/>
      <w:sz w:val="18"/>
      <w:szCs w:val="18"/>
    </w:rPr>
  </w:style>
  <w:style w:type="character" w:customStyle="1" w:styleId="9">
    <w:name w:val="widget-title-text"/>
    <w:basedOn w:val="5"/>
    <w:uiPriority w:val="0"/>
    <w:rPr>
      <w:rFonts w:ascii="微软雅黑" w:hAnsi="微软雅黑" w:eastAsia="微软雅黑" w:cs="微软雅黑"/>
      <w:b/>
      <w:sz w:val="21"/>
      <w:szCs w:val="21"/>
    </w:rPr>
  </w:style>
  <w:style w:type="character" w:customStyle="1" w:styleId="10">
    <w:name w:val="layui-this"/>
    <w:basedOn w:val="5"/>
    <w:qFormat/>
    <w:uiPriority w:val="0"/>
    <w:rPr>
      <w:bdr w:val="single" w:color="EEEEEE" w:sz="6" w:space="0"/>
      <w:shd w:val="clear" w:fill="FFFFFF"/>
    </w:rPr>
  </w:style>
  <w:style w:type="character" w:customStyle="1" w:styleId="11">
    <w:name w:val="ui-icon-arrowthick-2-n-s"/>
    <w:basedOn w:val="5"/>
    <w:uiPriority w:val="0"/>
  </w:style>
  <w:style w:type="character" w:customStyle="1" w:styleId="12">
    <w:name w:val="ui-icon40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2021-05-08T06:19:00Z</dcterms:created>
  <dc:creator>Administrator</dc:creator>
  <cp:lastModifiedBy>admin</cp:lastModifiedBy>
  <dcterms:modified xsi:type="dcterms:W3CDTF">2021-09-07T01:54:06Z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C9891567C1E6405AB26F75678EC97EA8</vt:lpwstr>
  </property>
</Properties>
</file>