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Cs/>
          <w:color w:val="000000" w:themeColor="text1"/>
          <w:sz w:val="36"/>
          <w:szCs w:val="36"/>
          <w14:textFill>
            <w14:solidFill>
              <w14:schemeClr w14:val="tx1"/>
            </w14:solidFill>
          </w14:textFill>
        </w:rPr>
      </w:pPr>
      <w:r>
        <w:rPr>
          <w:rFonts w:hint="eastAsia" w:ascii="黑体" w:hAnsi="黑体" w:eastAsia="黑体"/>
          <w:bCs/>
          <w:color w:val="000000" w:themeColor="text1"/>
          <w:sz w:val="36"/>
          <w:szCs w:val="36"/>
          <w14:textFill>
            <w14:solidFill>
              <w14:schemeClr w14:val="tx1"/>
            </w14:solidFill>
          </w14:textFill>
        </w:rPr>
        <w:t>“养云公馆”项目1号楼、2号楼、3号楼、5号楼、6号楼、7号楼、8号楼、12号楼、15号楼工业化建筑设计阶段认定专家论证意见</w:t>
      </w:r>
    </w:p>
    <w:p>
      <w:pPr>
        <w:snapToGrid w:val="0"/>
        <w:spacing w:line="490" w:lineRule="exact"/>
        <w:ind w:firstLine="560" w:firstLineChars="200"/>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2</w:t>
      </w:r>
      <w:r>
        <w:rPr>
          <w:rFonts w:ascii="仿宋_GB2312" w:hAnsi="宋体"/>
          <w:bCs/>
          <w:color w:val="000000" w:themeColor="text1"/>
          <w:sz w:val="28"/>
          <w:szCs w:val="28"/>
          <w14:textFill>
            <w14:solidFill>
              <w14:schemeClr w14:val="tx1"/>
            </w14:solidFill>
          </w14:textFill>
        </w:rPr>
        <w:t>020</w:t>
      </w:r>
      <w:r>
        <w:rPr>
          <w:rFonts w:hint="eastAsia" w:ascii="仿宋_GB2312" w:hAnsi="宋体"/>
          <w:bCs/>
          <w:color w:val="000000" w:themeColor="text1"/>
          <w:sz w:val="28"/>
          <w:szCs w:val="28"/>
          <w14:textFill>
            <w14:solidFill>
              <w14:schemeClr w14:val="tx1"/>
            </w14:solidFill>
          </w14:textFill>
        </w:rPr>
        <w:t>年</w:t>
      </w:r>
      <w:r>
        <w:rPr>
          <w:rFonts w:ascii="仿宋_GB2312" w:hAnsi="宋体"/>
          <w:bCs/>
          <w:color w:val="000000" w:themeColor="text1"/>
          <w:sz w:val="28"/>
          <w:szCs w:val="28"/>
          <w14:textFill>
            <w14:solidFill>
              <w14:schemeClr w14:val="tx1"/>
            </w14:solidFill>
          </w14:textFill>
        </w:rPr>
        <w:t>12</w:t>
      </w:r>
      <w:r>
        <w:rPr>
          <w:rFonts w:hint="eastAsia" w:ascii="仿宋_GB2312" w:hAnsi="宋体"/>
          <w:bCs/>
          <w:color w:val="000000" w:themeColor="text1"/>
          <w:sz w:val="28"/>
          <w:szCs w:val="28"/>
          <w14:textFill>
            <w14:solidFill>
              <w14:schemeClr w14:val="tx1"/>
            </w14:solidFill>
          </w14:textFill>
        </w:rPr>
        <w:t>月</w:t>
      </w:r>
      <w:r>
        <w:rPr>
          <w:rFonts w:ascii="仿宋_GB2312" w:hAnsi="宋体"/>
          <w:bCs/>
          <w:color w:val="000000" w:themeColor="text1"/>
          <w:sz w:val="28"/>
          <w:szCs w:val="28"/>
          <w14:textFill>
            <w14:solidFill>
              <w14:schemeClr w14:val="tx1"/>
            </w14:solidFill>
          </w14:textFill>
        </w:rPr>
        <w:t>24</w:t>
      </w:r>
      <w:r>
        <w:rPr>
          <w:rFonts w:hint="eastAsia" w:ascii="仿宋_GB2312" w:hAnsi="宋体"/>
          <w:bCs/>
          <w:color w:val="000000" w:themeColor="text1"/>
          <w:sz w:val="28"/>
          <w:szCs w:val="28"/>
          <w14:textFill>
            <w14:solidFill>
              <w14:schemeClr w14:val="tx1"/>
            </w14:solidFill>
          </w14:textFill>
        </w:rPr>
        <w:t>日，福州兆裕房地产开发有限公司在福州市组织召开“养云公馆”项目1号楼、2号楼、3号楼、5号楼、6号楼、7号楼、8号楼、12号楼、15号楼工业化建筑设计阶段认定专家论证会，会议由福州兆裕房地产开发有限公司主持，设计单位、施工图审查单位、评审专家参加了会议。</w:t>
      </w:r>
    </w:p>
    <w:p>
      <w:pPr>
        <w:snapToGrid w:val="0"/>
        <w:spacing w:line="490" w:lineRule="exact"/>
        <w:ind w:firstLine="560" w:firstLineChars="200"/>
        <w:rPr>
          <w:rFonts w:ascii="仿宋_GB2312"/>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工程基本简况如下：本项目位于福州市</w:t>
      </w:r>
      <w:r>
        <w:rPr>
          <w:rFonts w:hint="eastAsia" w:asciiTheme="minorHAnsi" w:hAnsiTheme="minorHAnsi"/>
          <w:bCs/>
          <w:color w:val="000000" w:themeColor="text1"/>
          <w:sz w:val="28"/>
          <w:szCs w:val="28"/>
          <w14:textFill>
            <w14:solidFill>
              <w14:schemeClr w14:val="tx1"/>
            </w14:solidFill>
          </w14:textFill>
        </w:rPr>
        <w:t>晋安</w:t>
      </w:r>
      <w:r>
        <w:rPr>
          <w:rFonts w:hint="eastAsia" w:ascii="仿宋_GB2312" w:hAnsi="宋体"/>
          <w:bCs/>
          <w:color w:val="000000" w:themeColor="text1"/>
          <w:sz w:val="28"/>
          <w:szCs w:val="28"/>
          <w14:textFill>
            <w14:solidFill>
              <w14:schemeClr w14:val="tx1"/>
            </w14:solidFill>
          </w14:textFill>
        </w:rPr>
        <w:t>区。拟建17栋高层住宅、2栋单层公共住宅、2栋单层公建和幼儿园，总建筑面积为</w:t>
      </w:r>
      <w:r>
        <w:rPr>
          <w:rFonts w:ascii="仿宋_GB2312" w:hAnsi="宋体"/>
          <w:bCs/>
          <w:color w:val="000000" w:themeColor="text1"/>
          <w:sz w:val="28"/>
          <w:szCs w:val="28"/>
          <w14:textFill>
            <w14:solidFill>
              <w14:schemeClr w14:val="tx1"/>
            </w14:solidFill>
          </w14:textFill>
        </w:rPr>
        <w:t>136082.00</w:t>
      </w:r>
      <w:r>
        <w:rPr>
          <w:rFonts w:hint="eastAsia" w:ascii="仿宋_GB2312" w:hAnsi="宋体"/>
          <w:bCs/>
          <w:color w:val="000000" w:themeColor="text1"/>
          <w:sz w:val="28"/>
          <w:szCs w:val="28"/>
          <w14:textFill>
            <w14:solidFill>
              <w14:schemeClr w14:val="tx1"/>
            </w14:solidFill>
          </w14:textFill>
        </w:rPr>
        <w:t>平方米，计入容积率的建筑面积为</w:t>
      </w:r>
      <w:r>
        <w:rPr>
          <w:rFonts w:ascii="仿宋_GB2312" w:hAnsi="宋体"/>
          <w:bCs/>
          <w:color w:val="000000" w:themeColor="text1"/>
          <w:sz w:val="28"/>
          <w:szCs w:val="28"/>
          <w14:textFill>
            <w14:solidFill>
              <w14:schemeClr w14:val="tx1"/>
            </w14:solidFill>
          </w14:textFill>
        </w:rPr>
        <w:t>105448.79</w:t>
      </w:r>
      <w:r>
        <w:rPr>
          <w:rFonts w:hint="eastAsia" w:ascii="仿宋_GB2312" w:hAnsi="宋体"/>
          <w:bCs/>
          <w:color w:val="000000" w:themeColor="text1"/>
          <w:sz w:val="28"/>
          <w:szCs w:val="28"/>
          <w14:textFill>
            <w14:solidFill>
              <w14:schemeClr w14:val="tx1"/>
            </w14:solidFill>
          </w14:textFill>
        </w:rPr>
        <w:t>平方米。其中</w:t>
      </w:r>
      <w:bookmarkStart w:id="0" w:name="_Hlk59651961"/>
      <w:r>
        <w:rPr>
          <w:rFonts w:hint="eastAsia" w:ascii="仿宋_GB2312" w:hAnsi="宋体"/>
          <w:bCs/>
          <w:color w:val="000000" w:themeColor="text1"/>
          <w:sz w:val="28"/>
          <w:szCs w:val="28"/>
          <w14:textFill>
            <w14:solidFill>
              <w14:schemeClr w14:val="tx1"/>
            </w14:solidFill>
          </w14:textFill>
        </w:rPr>
        <w:t>1号楼、2号楼、3号楼、5号楼、6号楼、7号楼、8号楼、12号楼、15号楼</w:t>
      </w:r>
      <w:bookmarkEnd w:id="0"/>
      <w:r>
        <w:rPr>
          <w:rFonts w:hint="eastAsia" w:ascii="仿宋_GB2312" w:hAnsi="宋体"/>
          <w:bCs/>
          <w:color w:val="000000" w:themeColor="text1"/>
          <w:sz w:val="28"/>
          <w:szCs w:val="28"/>
          <w14:textFill>
            <w14:solidFill>
              <w14:schemeClr w14:val="tx1"/>
            </w14:solidFill>
          </w14:textFill>
        </w:rPr>
        <w:t>采用预制装配式混凝土结构，装配式楼栋的计容建筑面积为</w:t>
      </w:r>
      <w:r>
        <w:rPr>
          <w:rFonts w:ascii="仿宋_GB2312" w:hAnsi="宋体"/>
          <w:bCs/>
          <w:color w:val="000000" w:themeColor="text1"/>
          <w:sz w:val="28"/>
          <w:szCs w:val="28"/>
          <w14:textFill>
            <w14:solidFill>
              <w14:schemeClr w14:val="tx1"/>
            </w14:solidFill>
          </w14:textFill>
        </w:rPr>
        <w:t>53428.99/105448.79=50.67%&gt;50%</w:t>
      </w:r>
      <w:r>
        <w:rPr>
          <w:rFonts w:hint="eastAsia" w:ascii="仿宋_GB2312" w:hAnsi="宋体"/>
          <w:bCs/>
          <w:color w:val="000000" w:themeColor="text1"/>
          <w:sz w:val="28"/>
          <w:szCs w:val="28"/>
          <w14:textFill>
            <w14:solidFill>
              <w14:schemeClr w14:val="tx1"/>
            </w14:solidFill>
          </w14:textFill>
        </w:rPr>
        <w:t>，满足福州市人民政府文件榕政综〔2017〕1164号的相关规定要求。</w:t>
      </w:r>
    </w:p>
    <w:p>
      <w:pPr>
        <w:spacing w:line="490" w:lineRule="exact"/>
        <w:ind w:firstLine="560" w:firstLineChars="200"/>
        <w:jc w:val="left"/>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各单体预制装配内容及装配率详下表：</w:t>
      </w:r>
    </w:p>
    <w:tbl>
      <w:tblPr>
        <w:tblStyle w:val="5"/>
        <w:tblW w:w="5092" w:type="pct"/>
        <w:jc w:val="center"/>
        <w:tblLayout w:type="autofit"/>
        <w:tblCellMar>
          <w:top w:w="0" w:type="dxa"/>
          <w:left w:w="0" w:type="dxa"/>
          <w:bottom w:w="0" w:type="dxa"/>
          <w:right w:w="0" w:type="dxa"/>
        </w:tblCellMar>
      </w:tblPr>
      <w:tblGrid>
        <w:gridCol w:w="1806"/>
        <w:gridCol w:w="1808"/>
        <w:gridCol w:w="811"/>
        <w:gridCol w:w="795"/>
        <w:gridCol w:w="802"/>
        <w:gridCol w:w="802"/>
        <w:gridCol w:w="802"/>
        <w:gridCol w:w="802"/>
        <w:gridCol w:w="51"/>
      </w:tblGrid>
      <w:tr>
        <w:tblPrEx>
          <w:tblCellMar>
            <w:top w:w="0" w:type="dxa"/>
            <w:left w:w="0" w:type="dxa"/>
            <w:bottom w:w="0" w:type="dxa"/>
            <w:right w:w="0" w:type="dxa"/>
          </w:tblCellMar>
        </w:tblPrEx>
        <w:trPr>
          <w:gridAfter w:val="1"/>
          <w:wAfter w:w="30" w:type="pct"/>
          <w:trHeight w:val="889" w:hRule="atLeast"/>
          <w:jc w:val="center"/>
        </w:trPr>
        <w:tc>
          <w:tcPr>
            <w:tcW w:w="1065" w:type="pct"/>
            <w:tcBorders>
              <w:top w:val="single" w:color="000000" w:sz="8" w:space="0"/>
              <w:left w:val="single" w:color="000000" w:sz="8" w:space="0"/>
              <w:bottom w:val="single" w:color="000000" w:sz="8" w:space="0"/>
              <w:right w:val="single" w:color="000000" w:sz="8" w:space="0"/>
            </w:tcBorders>
            <w:vAlign w:val="center"/>
          </w:tcPr>
          <w:p>
            <w:pPr>
              <w:spacing w:line="490" w:lineRule="exact"/>
              <w:rPr>
                <w:rFonts w:ascii="仿宋" w:hAnsi="仿宋" w:eastAsia="仿宋" w:cs="仿宋"/>
                <w:bCs/>
                <w:color w:val="000000" w:themeColor="text1"/>
                <w:sz w:val="24"/>
                <w14:textFill>
                  <w14:solidFill>
                    <w14:schemeClr w14:val="tx1"/>
                  </w14:solidFill>
                </w14:textFill>
              </w:rPr>
            </w:pPr>
          </w:p>
        </w:tc>
        <w:tc>
          <w:tcPr>
            <w:tcW w:w="1066"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评价项</w:t>
            </w:r>
          </w:p>
        </w:tc>
        <w:tc>
          <w:tcPr>
            <w:tcW w:w="478"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ascii="仿宋" w:hAnsi="仿宋" w:eastAsia="仿宋" w:cs="仿宋"/>
                <w:bCs/>
                <w:color w:val="000000" w:themeColor="text1"/>
                <w:sz w:val="24"/>
                <w14:textFill>
                  <w14:solidFill>
                    <w14:schemeClr w14:val="tx1"/>
                  </w14:solidFill>
                </w14:textFill>
              </w:rPr>
              <w:t>1</w:t>
            </w:r>
            <w:r>
              <w:rPr>
                <w:rFonts w:hint="eastAsia" w:ascii="仿宋" w:hAnsi="仿宋" w:eastAsia="仿宋" w:cs="仿宋"/>
                <w:bCs/>
                <w:color w:val="000000" w:themeColor="text1"/>
                <w:sz w:val="24"/>
                <w14:textFill>
                  <w14:solidFill>
                    <w14:schemeClr w14:val="tx1"/>
                  </w14:solidFill>
                </w14:textFill>
              </w:rPr>
              <w:t>号楼</w:t>
            </w:r>
          </w:p>
        </w:tc>
        <w:tc>
          <w:tcPr>
            <w:tcW w:w="469"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ascii="仿宋" w:hAnsi="仿宋" w:eastAsia="仿宋" w:cs="仿宋"/>
                <w:bCs/>
                <w:color w:val="000000" w:themeColor="text1"/>
                <w:sz w:val="24"/>
                <w14:textFill>
                  <w14:solidFill>
                    <w14:schemeClr w14:val="tx1"/>
                  </w14:solidFill>
                </w14:textFill>
              </w:rPr>
              <w:t>2</w:t>
            </w:r>
            <w:r>
              <w:rPr>
                <w:rFonts w:hint="eastAsia" w:ascii="仿宋" w:hAnsi="仿宋" w:eastAsia="仿宋" w:cs="仿宋"/>
                <w:bCs/>
                <w:color w:val="000000" w:themeColor="text1"/>
                <w:sz w:val="24"/>
                <w14:textFill>
                  <w14:solidFill>
                    <w14:schemeClr w14:val="tx1"/>
                  </w14:solidFill>
                </w14:textFill>
              </w:rPr>
              <w:t>号楼</w:t>
            </w:r>
          </w:p>
        </w:tc>
        <w:tc>
          <w:tcPr>
            <w:tcW w:w="473" w:type="pct"/>
            <w:tcBorders>
              <w:top w:val="single" w:color="000000" w:sz="8" w:space="0"/>
              <w:left w:val="single" w:color="000000" w:sz="8" w:space="0"/>
              <w:bottom w:val="single" w:color="000000" w:sz="8" w:space="0"/>
              <w:right w:val="single" w:color="000000" w:sz="8" w:space="0"/>
            </w:tcBorders>
            <w:vAlign w:val="center"/>
          </w:tcPr>
          <w:p>
            <w:pPr>
              <w:jc w:val="center"/>
              <w:rPr>
                <w:rFonts w:ascii="仿宋" w:hAnsi="仿宋" w:eastAsia="仿宋" w:cs="仿宋"/>
                <w:bCs/>
                <w:color w:val="000000" w:themeColor="text1"/>
                <w:sz w:val="22"/>
                <w:szCs w:val="22"/>
                <w14:textFill>
                  <w14:solidFill>
                    <w14:schemeClr w14:val="tx1"/>
                  </w14:solidFill>
                </w14:textFill>
              </w:rPr>
            </w:pPr>
            <w:r>
              <w:rPr>
                <w:rFonts w:ascii="仿宋" w:hAnsi="仿宋" w:eastAsia="仿宋" w:cs="仿宋"/>
                <w:bCs/>
                <w:color w:val="000000" w:themeColor="text1"/>
                <w:sz w:val="22"/>
                <w:szCs w:val="22"/>
                <w14:textFill>
                  <w14:solidFill>
                    <w14:schemeClr w14:val="tx1"/>
                  </w14:solidFill>
                </w14:textFill>
              </w:rPr>
              <w:t>3</w:t>
            </w:r>
            <w:r>
              <w:rPr>
                <w:rFonts w:hint="eastAsia" w:ascii="仿宋" w:hAnsi="仿宋" w:eastAsia="仿宋" w:cs="仿宋"/>
                <w:bCs/>
                <w:color w:val="000000" w:themeColor="text1"/>
                <w:sz w:val="22"/>
                <w:szCs w:val="22"/>
                <w14:textFill>
                  <w14:solidFill>
                    <w14:schemeClr w14:val="tx1"/>
                  </w14:solidFill>
                </w14:textFill>
              </w:rPr>
              <w:t>号、</w:t>
            </w:r>
            <w:r>
              <w:rPr>
                <w:rFonts w:ascii="仿宋" w:hAnsi="仿宋" w:eastAsia="仿宋" w:cs="仿宋"/>
                <w:bCs/>
                <w:color w:val="000000" w:themeColor="text1"/>
                <w:sz w:val="22"/>
                <w:szCs w:val="22"/>
                <w14:textFill>
                  <w14:solidFill>
                    <w14:schemeClr w14:val="tx1"/>
                  </w14:solidFill>
                </w14:textFill>
              </w:rPr>
              <w:t>8</w:t>
            </w:r>
            <w:r>
              <w:rPr>
                <w:rFonts w:hint="eastAsia" w:ascii="仿宋" w:hAnsi="仿宋" w:eastAsia="仿宋" w:cs="仿宋"/>
                <w:bCs/>
                <w:color w:val="000000" w:themeColor="text1"/>
                <w:sz w:val="22"/>
                <w:szCs w:val="22"/>
                <w14:textFill>
                  <w14:solidFill>
                    <w14:schemeClr w14:val="tx1"/>
                  </w14:solidFill>
                </w14:textFill>
              </w:rPr>
              <w:t>号、1</w:t>
            </w:r>
            <w:r>
              <w:rPr>
                <w:rFonts w:ascii="仿宋" w:hAnsi="仿宋" w:eastAsia="仿宋" w:cs="仿宋"/>
                <w:bCs/>
                <w:color w:val="000000" w:themeColor="text1"/>
                <w:sz w:val="22"/>
                <w:szCs w:val="22"/>
                <w14:textFill>
                  <w14:solidFill>
                    <w14:schemeClr w14:val="tx1"/>
                  </w14:solidFill>
                </w14:textFill>
              </w:rPr>
              <w:t>5</w:t>
            </w:r>
            <w:r>
              <w:rPr>
                <w:rFonts w:hint="eastAsia" w:ascii="仿宋" w:hAnsi="仿宋" w:eastAsia="仿宋" w:cs="仿宋"/>
                <w:bCs/>
                <w:color w:val="000000" w:themeColor="text1"/>
                <w:sz w:val="22"/>
                <w:szCs w:val="22"/>
                <w14:textFill>
                  <w14:solidFill>
                    <w14:schemeClr w14:val="tx1"/>
                  </w14:solidFill>
                </w14:textFill>
              </w:rPr>
              <w:t>号楼</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ascii="仿宋" w:hAnsi="仿宋" w:eastAsia="仿宋" w:cs="仿宋"/>
                <w:bCs/>
                <w:color w:val="000000" w:themeColor="text1"/>
                <w:sz w:val="24"/>
                <w14:textFill>
                  <w14:solidFill>
                    <w14:schemeClr w14:val="tx1"/>
                  </w14:solidFill>
                </w14:textFill>
              </w:rPr>
              <w:t>5</w:t>
            </w:r>
            <w:r>
              <w:rPr>
                <w:rFonts w:hint="eastAsia" w:ascii="仿宋" w:hAnsi="仿宋" w:eastAsia="仿宋" w:cs="仿宋"/>
                <w:bCs/>
                <w:color w:val="000000" w:themeColor="text1"/>
                <w:sz w:val="24"/>
                <w14:textFill>
                  <w14:solidFill>
                    <w14:schemeClr w14:val="tx1"/>
                  </w14:solidFill>
                </w14:textFill>
              </w:rPr>
              <w:t>号、</w:t>
            </w:r>
            <w:r>
              <w:rPr>
                <w:rFonts w:ascii="仿宋" w:hAnsi="仿宋" w:eastAsia="仿宋" w:cs="仿宋"/>
                <w:bCs/>
                <w:color w:val="000000" w:themeColor="text1"/>
                <w:sz w:val="24"/>
                <w14:textFill>
                  <w14:solidFill>
                    <w14:schemeClr w14:val="tx1"/>
                  </w14:solidFill>
                </w14:textFill>
              </w:rPr>
              <w:t>6</w:t>
            </w:r>
            <w:r>
              <w:rPr>
                <w:rFonts w:hint="eastAsia" w:ascii="仿宋" w:hAnsi="仿宋" w:eastAsia="仿宋" w:cs="仿宋"/>
                <w:bCs/>
                <w:color w:val="000000" w:themeColor="text1"/>
                <w:sz w:val="24"/>
                <w14:textFill>
                  <w14:solidFill>
                    <w14:schemeClr w14:val="tx1"/>
                  </w14:solidFill>
                </w14:textFill>
              </w:rPr>
              <w:t>号楼</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ascii="仿宋" w:hAnsi="仿宋" w:eastAsia="仿宋" w:cs="仿宋"/>
                <w:bCs/>
                <w:color w:val="000000" w:themeColor="text1"/>
                <w:sz w:val="24"/>
                <w14:textFill>
                  <w14:solidFill>
                    <w14:schemeClr w14:val="tx1"/>
                  </w14:solidFill>
                </w14:textFill>
              </w:rPr>
              <w:t>7</w:t>
            </w:r>
            <w:r>
              <w:rPr>
                <w:rFonts w:hint="eastAsia" w:ascii="仿宋" w:hAnsi="仿宋" w:eastAsia="仿宋" w:cs="仿宋"/>
                <w:bCs/>
                <w:color w:val="000000" w:themeColor="text1"/>
                <w:sz w:val="24"/>
                <w14:textFill>
                  <w14:solidFill>
                    <w14:schemeClr w14:val="tx1"/>
                  </w14:solidFill>
                </w14:textFill>
              </w:rPr>
              <w:t>号楼</w:t>
            </w:r>
          </w:p>
        </w:tc>
        <w:tc>
          <w:tcPr>
            <w:tcW w:w="473" w:type="pct"/>
            <w:tcBorders>
              <w:top w:val="single" w:color="000000" w:sz="8" w:space="0"/>
              <w:left w:val="single" w:color="000000" w:sz="8" w:space="0"/>
              <w:bottom w:val="single" w:color="000000" w:sz="8" w:space="0"/>
              <w:right w:val="single" w:color="000000" w:sz="8" w:space="0"/>
            </w:tcBorders>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w:t>
            </w:r>
            <w:r>
              <w:rPr>
                <w:rFonts w:ascii="仿宋" w:hAnsi="仿宋" w:eastAsia="仿宋" w:cs="仿宋"/>
                <w:bCs/>
                <w:color w:val="000000" w:themeColor="text1"/>
                <w:sz w:val="24"/>
                <w14:textFill>
                  <w14:solidFill>
                    <w14:schemeClr w14:val="tx1"/>
                  </w14:solidFill>
                </w14:textFill>
              </w:rPr>
              <w:t>2</w:t>
            </w:r>
            <w:r>
              <w:rPr>
                <w:rFonts w:hint="eastAsia" w:ascii="仿宋" w:hAnsi="仿宋" w:eastAsia="仿宋" w:cs="仿宋"/>
                <w:bCs/>
                <w:color w:val="000000" w:themeColor="text1"/>
                <w:sz w:val="24"/>
                <w14:textFill>
                  <w14:solidFill>
                    <w14:schemeClr w14:val="tx1"/>
                  </w14:solidFill>
                </w14:textFill>
              </w:rPr>
              <w:t>号楼</w:t>
            </w:r>
          </w:p>
        </w:tc>
      </w:tr>
      <w:tr>
        <w:tblPrEx>
          <w:tblCellMar>
            <w:top w:w="0" w:type="dxa"/>
            <w:left w:w="0" w:type="dxa"/>
            <w:bottom w:w="0" w:type="dxa"/>
            <w:right w:w="0" w:type="dxa"/>
          </w:tblCellMar>
        </w:tblPrEx>
        <w:trPr>
          <w:gridAfter w:val="1"/>
          <w:wAfter w:w="30" w:type="pct"/>
          <w:cantSplit/>
          <w:trHeight w:val="864" w:hRule="atLeast"/>
          <w:jc w:val="center"/>
        </w:trPr>
        <w:tc>
          <w:tcPr>
            <w:tcW w:w="1065" w:type="pct"/>
            <w:vMerge w:val="restart"/>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主体结构</w:t>
            </w:r>
          </w:p>
        </w:tc>
        <w:tc>
          <w:tcPr>
            <w:tcW w:w="1066"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预制叠合板、预制楼梯、预制盖板</w:t>
            </w:r>
          </w:p>
        </w:tc>
        <w:tc>
          <w:tcPr>
            <w:tcW w:w="478"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26.1</w:t>
            </w:r>
          </w:p>
        </w:tc>
        <w:tc>
          <w:tcPr>
            <w:tcW w:w="469"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26.3</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28.8</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27.2</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26.7</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26.2</w:t>
            </w:r>
          </w:p>
        </w:tc>
      </w:tr>
      <w:tr>
        <w:tblPrEx>
          <w:tblCellMar>
            <w:top w:w="0" w:type="dxa"/>
            <w:left w:w="0" w:type="dxa"/>
            <w:bottom w:w="0" w:type="dxa"/>
            <w:right w:w="0" w:type="dxa"/>
          </w:tblCellMar>
        </w:tblPrEx>
        <w:trPr>
          <w:gridAfter w:val="1"/>
          <w:wAfter w:w="30" w:type="pct"/>
          <w:trHeight w:val="907" w:hRule="atLeast"/>
          <w:jc w:val="center"/>
        </w:trPr>
        <w:tc>
          <w:tcPr>
            <w:tcW w:w="1065" w:type="pct"/>
            <w:vMerge w:val="continue"/>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066"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装配式建筑设计标准化、模数化</w:t>
            </w:r>
          </w:p>
        </w:tc>
        <w:tc>
          <w:tcPr>
            <w:tcW w:w="478"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ascii="仿宋" w:hAnsi="仿宋" w:eastAsia="仿宋" w:cs="仿宋"/>
                <w:bCs/>
                <w:color w:val="000000" w:themeColor="text1"/>
                <w:sz w:val="24"/>
                <w14:textFill>
                  <w14:solidFill>
                    <w14:schemeClr w14:val="tx1"/>
                  </w14:solidFill>
                </w14:textFill>
              </w:rPr>
              <w:t>0</w:t>
            </w:r>
          </w:p>
        </w:tc>
        <w:tc>
          <w:tcPr>
            <w:tcW w:w="469"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ascii="仿宋" w:hAnsi="仿宋" w:eastAsia="仿宋" w:cs="仿宋"/>
                <w:bCs/>
                <w:color w:val="000000" w:themeColor="text1"/>
                <w:sz w:val="24"/>
                <w14:textFill>
                  <w14:solidFill>
                    <w14:schemeClr w14:val="tx1"/>
                  </w14:solidFill>
                </w14:textFill>
              </w:rPr>
              <w:t>0</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ascii="仿宋" w:hAnsi="仿宋" w:eastAsia="仿宋" w:cs="仿宋"/>
                <w:bCs/>
                <w:color w:val="000000" w:themeColor="text1"/>
                <w:sz w:val="24"/>
                <w14:textFill>
                  <w14:solidFill>
                    <w14:schemeClr w14:val="tx1"/>
                  </w14:solidFill>
                </w14:textFill>
              </w:rPr>
              <w:t>-2</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ascii="仿宋" w:hAnsi="仿宋" w:eastAsia="仿宋" w:cs="仿宋"/>
                <w:bCs/>
                <w:color w:val="000000" w:themeColor="text1"/>
                <w:sz w:val="24"/>
                <w14:textFill>
                  <w14:solidFill>
                    <w14:schemeClr w14:val="tx1"/>
                  </w14:solidFill>
                </w14:textFill>
              </w:rPr>
              <w:t>0</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ascii="仿宋" w:hAnsi="仿宋" w:eastAsia="仿宋" w:cs="仿宋"/>
                <w:bCs/>
                <w:color w:val="000000" w:themeColor="text1"/>
                <w:sz w:val="24"/>
                <w14:textFill>
                  <w14:solidFill>
                    <w14:schemeClr w14:val="tx1"/>
                  </w14:solidFill>
                </w14:textFill>
              </w:rPr>
              <w:t>0</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ascii="仿宋" w:hAnsi="仿宋" w:eastAsia="仿宋" w:cs="仿宋"/>
                <w:bCs/>
                <w:color w:val="000000" w:themeColor="text1"/>
                <w:sz w:val="24"/>
                <w14:textFill>
                  <w14:solidFill>
                    <w14:schemeClr w14:val="tx1"/>
                  </w14:solidFill>
                </w14:textFill>
              </w:rPr>
              <w:t>0</w:t>
            </w:r>
          </w:p>
        </w:tc>
      </w:tr>
      <w:tr>
        <w:tblPrEx>
          <w:tblCellMar>
            <w:top w:w="0" w:type="dxa"/>
            <w:left w:w="0" w:type="dxa"/>
            <w:bottom w:w="0" w:type="dxa"/>
            <w:right w:w="0" w:type="dxa"/>
          </w:tblCellMar>
        </w:tblPrEx>
        <w:trPr>
          <w:gridAfter w:val="1"/>
          <w:wAfter w:w="30" w:type="pct"/>
          <w:trHeight w:val="340" w:hRule="atLeast"/>
          <w:jc w:val="center"/>
        </w:trPr>
        <w:tc>
          <w:tcPr>
            <w:tcW w:w="1065" w:type="pct"/>
            <w:vMerge w:val="continue"/>
            <w:tcBorders>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066"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部品部件通用化</w:t>
            </w:r>
          </w:p>
        </w:tc>
        <w:tc>
          <w:tcPr>
            <w:tcW w:w="478"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4</w:t>
            </w:r>
          </w:p>
        </w:tc>
        <w:tc>
          <w:tcPr>
            <w:tcW w:w="469"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ascii="仿宋" w:hAnsi="仿宋" w:eastAsia="仿宋" w:cs="仿宋"/>
                <w:bCs/>
                <w:color w:val="000000" w:themeColor="text1"/>
                <w:sz w:val="24"/>
                <w14:textFill>
                  <w14:solidFill>
                    <w14:schemeClr w14:val="tx1"/>
                  </w14:solidFill>
                </w14:textFill>
              </w:rPr>
              <w:t>4</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ascii="仿宋" w:hAnsi="仿宋" w:eastAsia="仿宋" w:cs="仿宋"/>
                <w:bCs/>
                <w:color w:val="000000" w:themeColor="text1"/>
                <w:sz w:val="24"/>
                <w14:textFill>
                  <w14:solidFill>
                    <w14:schemeClr w14:val="tx1"/>
                  </w14:solidFill>
                </w14:textFill>
              </w:rPr>
              <w:t>3.3</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ascii="仿宋" w:hAnsi="仿宋" w:eastAsia="仿宋" w:cs="仿宋"/>
                <w:bCs/>
                <w:color w:val="000000" w:themeColor="text1"/>
                <w:sz w:val="24"/>
                <w14:textFill>
                  <w14:solidFill>
                    <w14:schemeClr w14:val="tx1"/>
                  </w14:solidFill>
                </w14:textFill>
              </w:rPr>
              <w:t>3</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4</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ascii="仿宋" w:hAnsi="仿宋" w:eastAsia="仿宋" w:cs="仿宋"/>
                <w:bCs/>
                <w:color w:val="000000" w:themeColor="text1"/>
                <w:sz w:val="24"/>
                <w14:textFill>
                  <w14:solidFill>
                    <w14:schemeClr w14:val="tx1"/>
                  </w14:solidFill>
                </w14:textFill>
              </w:rPr>
              <w:t>4</w:t>
            </w:r>
          </w:p>
        </w:tc>
      </w:tr>
      <w:tr>
        <w:tblPrEx>
          <w:tblCellMar>
            <w:top w:w="0" w:type="dxa"/>
            <w:left w:w="0" w:type="dxa"/>
            <w:bottom w:w="0" w:type="dxa"/>
            <w:right w:w="0" w:type="dxa"/>
          </w:tblCellMar>
        </w:tblPrEx>
        <w:trPr>
          <w:gridAfter w:val="1"/>
          <w:wAfter w:w="30" w:type="pct"/>
          <w:trHeight w:val="340" w:hRule="atLeast"/>
          <w:jc w:val="center"/>
        </w:trPr>
        <w:tc>
          <w:tcPr>
            <w:tcW w:w="1065"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围护墙和内隔墙</w:t>
            </w:r>
          </w:p>
        </w:tc>
        <w:tc>
          <w:tcPr>
            <w:tcW w:w="1066"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内隔墙非砌筑</w:t>
            </w:r>
          </w:p>
        </w:tc>
        <w:tc>
          <w:tcPr>
            <w:tcW w:w="478"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469"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473" w:type="pct"/>
            <w:tcBorders>
              <w:top w:val="single" w:color="000000" w:sz="8" w:space="0"/>
              <w:left w:val="single" w:color="000000" w:sz="8" w:space="0"/>
              <w:bottom w:val="single" w:color="auto" w:sz="4"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r>
      <w:tr>
        <w:tblPrEx>
          <w:tblCellMar>
            <w:top w:w="0" w:type="dxa"/>
            <w:left w:w="0" w:type="dxa"/>
            <w:bottom w:w="0" w:type="dxa"/>
            <w:right w:w="0" w:type="dxa"/>
          </w:tblCellMar>
        </w:tblPrEx>
        <w:trPr>
          <w:trHeight w:val="340" w:hRule="atLeast"/>
          <w:jc w:val="center"/>
        </w:trPr>
        <w:tc>
          <w:tcPr>
            <w:tcW w:w="2131" w:type="pct"/>
            <w:gridSpan w:val="2"/>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装修和设备管线</w:t>
            </w:r>
          </w:p>
        </w:tc>
        <w:tc>
          <w:tcPr>
            <w:tcW w:w="478"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ascii="仿宋" w:hAnsi="仿宋" w:eastAsia="仿宋" w:cs="仿宋"/>
                <w:bCs/>
                <w:color w:val="000000" w:themeColor="text1"/>
                <w:sz w:val="24"/>
                <w14:textFill>
                  <w14:solidFill>
                    <w14:schemeClr w14:val="tx1"/>
                  </w14:solidFill>
                </w14:textFill>
              </w:rPr>
              <w:t>6</w:t>
            </w:r>
          </w:p>
        </w:tc>
        <w:tc>
          <w:tcPr>
            <w:tcW w:w="469"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ascii="仿宋" w:hAnsi="仿宋" w:eastAsia="仿宋" w:cs="仿宋"/>
                <w:bCs/>
                <w:color w:val="000000" w:themeColor="text1"/>
                <w:sz w:val="24"/>
                <w14:textFill>
                  <w14:solidFill>
                    <w14:schemeClr w14:val="tx1"/>
                  </w14:solidFill>
                </w14:textFill>
              </w:rPr>
              <w:t>6</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ascii="仿宋" w:hAnsi="仿宋" w:eastAsia="仿宋" w:cs="仿宋"/>
                <w:bCs/>
                <w:color w:val="000000" w:themeColor="text1"/>
                <w:sz w:val="24"/>
                <w14:textFill>
                  <w14:solidFill>
                    <w14:schemeClr w14:val="tx1"/>
                  </w14:solidFill>
                </w14:textFill>
              </w:rPr>
              <w:t>6</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ascii="仿宋" w:hAnsi="仿宋" w:eastAsia="仿宋" w:cs="仿宋"/>
                <w:bCs/>
                <w:color w:val="000000" w:themeColor="text1"/>
                <w:sz w:val="24"/>
                <w14:textFill>
                  <w14:solidFill>
                    <w14:schemeClr w14:val="tx1"/>
                  </w14:solidFill>
                </w14:textFill>
              </w:rPr>
              <w:t>6</w:t>
            </w:r>
          </w:p>
        </w:tc>
        <w:tc>
          <w:tcPr>
            <w:tcW w:w="473" w:type="pct"/>
            <w:tcBorders>
              <w:top w:val="single" w:color="000000" w:sz="8" w:space="0"/>
              <w:left w:val="single" w:color="000000" w:sz="8" w:space="0"/>
              <w:bottom w:val="single" w:color="000000" w:sz="8" w:space="0"/>
              <w:right w:val="single" w:color="auto" w:sz="4"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ascii="仿宋" w:hAnsi="仿宋" w:eastAsia="仿宋" w:cs="仿宋"/>
                <w:bCs/>
                <w:color w:val="000000" w:themeColor="text1"/>
                <w:sz w:val="24"/>
                <w14:textFill>
                  <w14:solidFill>
                    <w14:schemeClr w14:val="tx1"/>
                  </w14:solidFill>
                </w14:textFill>
              </w:rPr>
              <w:t>6</w:t>
            </w:r>
          </w:p>
        </w:tc>
        <w:tc>
          <w:tcPr>
            <w:tcW w:w="47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bCs/>
                <w:color w:val="000000" w:themeColor="text1"/>
                <w:sz w:val="24"/>
                <w14:textFill>
                  <w14:solidFill>
                    <w14:schemeClr w14:val="tx1"/>
                  </w14:solidFill>
                </w14:textFill>
              </w:rPr>
            </w:pPr>
            <w:r>
              <w:rPr>
                <w:rFonts w:ascii="仿宋" w:hAnsi="仿宋" w:eastAsia="仿宋" w:cs="仿宋"/>
                <w:bCs/>
                <w:color w:val="000000" w:themeColor="text1"/>
                <w:sz w:val="24"/>
                <w14:textFill>
                  <w14:solidFill>
                    <w14:schemeClr w14:val="tx1"/>
                  </w14:solidFill>
                </w14:textFill>
              </w:rPr>
              <w:t>6</w:t>
            </w:r>
          </w:p>
        </w:tc>
        <w:tc>
          <w:tcPr>
            <w:tcW w:w="30" w:type="pct"/>
            <w:tcBorders>
              <w:left w:val="single" w:color="auto" w:sz="4" w:space="0"/>
            </w:tcBorders>
            <w:vAlign w:val="center"/>
          </w:tcPr>
          <w:p>
            <w:pPr>
              <w:widowControl/>
              <w:jc w:val="left"/>
              <w:rPr>
                <w:rFonts w:ascii="仿宋" w:hAnsi="仿宋" w:eastAsia="仿宋" w:cs="仿宋"/>
                <w:bCs/>
                <w:color w:val="000000" w:themeColor="text1"/>
                <w:sz w:val="24"/>
                <w14:textFill>
                  <w14:solidFill>
                    <w14:schemeClr w14:val="tx1"/>
                  </w14:solidFill>
                </w14:textFill>
              </w:rPr>
            </w:pPr>
          </w:p>
        </w:tc>
      </w:tr>
      <w:tr>
        <w:tblPrEx>
          <w:tblCellMar>
            <w:top w:w="0" w:type="dxa"/>
            <w:left w:w="0" w:type="dxa"/>
            <w:bottom w:w="0" w:type="dxa"/>
            <w:right w:w="0" w:type="dxa"/>
          </w:tblCellMar>
        </w:tblPrEx>
        <w:trPr>
          <w:gridAfter w:val="1"/>
          <w:wAfter w:w="30" w:type="pct"/>
          <w:trHeight w:val="340" w:hRule="atLeast"/>
          <w:jc w:val="center"/>
        </w:trPr>
        <w:tc>
          <w:tcPr>
            <w:tcW w:w="1065" w:type="pct"/>
            <w:vMerge w:val="restart"/>
            <w:tcBorders>
              <w:top w:val="single" w:color="000000" w:sz="8" w:space="0"/>
              <w:left w:val="single" w:color="000000" w:sz="8" w:space="0"/>
              <w:right w:val="single" w:color="000000" w:sz="8" w:space="0"/>
            </w:tcBorders>
            <w:vAlign w:val="center"/>
          </w:tcPr>
          <w:p>
            <w:pPr>
              <w:spacing w:line="480" w:lineRule="auto"/>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技术创新</w:t>
            </w:r>
          </w:p>
        </w:tc>
        <w:tc>
          <w:tcPr>
            <w:tcW w:w="1066"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设计阶段BIM</w:t>
            </w:r>
          </w:p>
        </w:tc>
        <w:tc>
          <w:tcPr>
            <w:tcW w:w="478"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69"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r>
      <w:tr>
        <w:tblPrEx>
          <w:tblCellMar>
            <w:top w:w="0" w:type="dxa"/>
            <w:left w:w="0" w:type="dxa"/>
            <w:bottom w:w="0" w:type="dxa"/>
            <w:right w:w="0" w:type="dxa"/>
          </w:tblCellMar>
        </w:tblPrEx>
        <w:trPr>
          <w:gridAfter w:val="1"/>
          <w:wAfter w:w="30" w:type="pct"/>
          <w:trHeight w:val="340" w:hRule="atLeast"/>
          <w:jc w:val="center"/>
        </w:trPr>
        <w:tc>
          <w:tcPr>
            <w:tcW w:w="1065" w:type="pct"/>
            <w:vMerge w:val="continue"/>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066"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施工阶段BIM</w:t>
            </w:r>
          </w:p>
        </w:tc>
        <w:tc>
          <w:tcPr>
            <w:tcW w:w="478"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69"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r>
      <w:tr>
        <w:tblPrEx>
          <w:tblCellMar>
            <w:top w:w="0" w:type="dxa"/>
            <w:left w:w="0" w:type="dxa"/>
            <w:bottom w:w="0" w:type="dxa"/>
            <w:right w:w="0" w:type="dxa"/>
          </w:tblCellMar>
        </w:tblPrEx>
        <w:trPr>
          <w:gridAfter w:val="1"/>
          <w:wAfter w:w="30" w:type="pct"/>
          <w:trHeight w:val="340" w:hRule="atLeast"/>
          <w:jc w:val="center"/>
        </w:trPr>
        <w:tc>
          <w:tcPr>
            <w:tcW w:w="1065" w:type="pct"/>
            <w:vMerge w:val="continue"/>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066"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可追溯系统</w:t>
            </w:r>
          </w:p>
        </w:tc>
        <w:tc>
          <w:tcPr>
            <w:tcW w:w="478"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469"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r>
      <w:tr>
        <w:tblPrEx>
          <w:tblCellMar>
            <w:top w:w="0" w:type="dxa"/>
            <w:left w:w="0" w:type="dxa"/>
            <w:bottom w:w="0" w:type="dxa"/>
            <w:right w:w="0" w:type="dxa"/>
          </w:tblCellMar>
        </w:tblPrEx>
        <w:trPr>
          <w:gridAfter w:val="1"/>
          <w:wAfter w:w="30" w:type="pct"/>
          <w:trHeight w:val="340" w:hRule="atLeast"/>
          <w:jc w:val="center"/>
        </w:trPr>
        <w:tc>
          <w:tcPr>
            <w:tcW w:w="2131" w:type="pct"/>
            <w:gridSpan w:val="2"/>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总计</w:t>
            </w:r>
          </w:p>
        </w:tc>
        <w:tc>
          <w:tcPr>
            <w:tcW w:w="478"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54.1</w:t>
            </w:r>
          </w:p>
        </w:tc>
        <w:tc>
          <w:tcPr>
            <w:tcW w:w="469"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54.3</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54.1</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54.2</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54.7</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54.2</w:t>
            </w:r>
          </w:p>
        </w:tc>
      </w:tr>
      <w:tr>
        <w:tblPrEx>
          <w:tblCellMar>
            <w:top w:w="0" w:type="dxa"/>
            <w:left w:w="0" w:type="dxa"/>
            <w:bottom w:w="0" w:type="dxa"/>
            <w:right w:w="0" w:type="dxa"/>
          </w:tblCellMar>
        </w:tblPrEx>
        <w:trPr>
          <w:gridAfter w:val="1"/>
          <w:wAfter w:w="30" w:type="pct"/>
          <w:trHeight w:val="340" w:hRule="atLeast"/>
          <w:jc w:val="center"/>
        </w:trPr>
        <w:tc>
          <w:tcPr>
            <w:tcW w:w="2131" w:type="pct"/>
            <w:gridSpan w:val="2"/>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装配率（%）</w:t>
            </w:r>
          </w:p>
        </w:tc>
        <w:tc>
          <w:tcPr>
            <w:tcW w:w="478"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54%</w:t>
            </w:r>
          </w:p>
        </w:tc>
        <w:tc>
          <w:tcPr>
            <w:tcW w:w="469"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54%</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54%</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54%</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55%</w:t>
            </w:r>
          </w:p>
        </w:tc>
        <w:tc>
          <w:tcPr>
            <w:tcW w:w="47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54%</w:t>
            </w:r>
          </w:p>
        </w:tc>
      </w:tr>
    </w:tbl>
    <w:p>
      <w:pPr>
        <w:spacing w:line="380" w:lineRule="exact"/>
        <w:ind w:firstLine="560" w:firstLineChars="200"/>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本工程施工图设计文件已通过审图机构审查。审查机构：福州市建设工程施工图审查中心有限公司，合格证编号:</w:t>
      </w:r>
      <w:r>
        <w:rPr>
          <w:rFonts w:ascii="仿宋_GB2312" w:hAnsi="宋体"/>
          <w:bCs/>
          <w:color w:val="000000" w:themeColor="text1"/>
          <w:sz w:val="28"/>
          <w:szCs w:val="28"/>
          <w14:textFill>
            <w14:solidFill>
              <w14:schemeClr w14:val="tx1"/>
            </w14:solidFill>
          </w14:textFill>
        </w:rPr>
        <w:t xml:space="preserve"> 3501112009210113-TX-001</w:t>
      </w:r>
      <w:r>
        <w:rPr>
          <w:rFonts w:hint="eastAsia" w:ascii="仿宋_GB2312" w:hAnsi="宋体"/>
          <w:bCs/>
          <w:color w:val="000000" w:themeColor="text1"/>
          <w:sz w:val="28"/>
          <w:szCs w:val="28"/>
          <w14:textFill>
            <w14:solidFill>
              <w14:schemeClr w14:val="tx1"/>
            </w14:solidFill>
          </w14:textFill>
        </w:rPr>
        <w:t>。</w:t>
      </w:r>
    </w:p>
    <w:p>
      <w:pPr>
        <w:spacing w:line="490" w:lineRule="exact"/>
        <w:ind w:firstLine="560" w:firstLineChars="200"/>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与会专家及相关职能部门领导听取了福建博宇建筑设计有限公司及建设单位对本工程的介绍，经会议研究讨论，形成以下意见：</w:t>
      </w:r>
    </w:p>
    <w:p>
      <w:pPr>
        <w:spacing w:line="490" w:lineRule="exact"/>
        <w:ind w:firstLine="560" w:firstLineChars="200"/>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(1) 本工程预制面积不小于总建筑面积计容部分的50%，装配式楼栋的装配率不小于</w:t>
      </w:r>
      <w:r>
        <w:rPr>
          <w:rFonts w:ascii="仿宋_GB2312" w:hAnsi="宋体"/>
          <w:bCs/>
          <w:color w:val="000000" w:themeColor="text1"/>
          <w:sz w:val="28"/>
          <w:szCs w:val="28"/>
          <w14:textFill>
            <w14:solidFill>
              <w14:schemeClr w14:val="tx1"/>
            </w14:solidFill>
          </w14:textFill>
        </w:rPr>
        <w:t>5</w:t>
      </w:r>
      <w:r>
        <w:rPr>
          <w:rFonts w:hint="eastAsia" w:ascii="仿宋_GB2312" w:hAnsi="宋体"/>
          <w:bCs/>
          <w:color w:val="000000" w:themeColor="text1"/>
          <w:sz w:val="28"/>
          <w:szCs w:val="28"/>
          <w14:textFill>
            <w14:solidFill>
              <w14:schemeClr w14:val="tx1"/>
            </w14:solidFill>
          </w14:textFill>
        </w:rPr>
        <w:t>0%，满足福州市人民政府文件榕政综〔2017〕1164号的相关规定。</w:t>
      </w:r>
    </w:p>
    <w:p>
      <w:pPr>
        <w:spacing w:line="490" w:lineRule="exact"/>
        <w:ind w:firstLine="560" w:firstLineChars="200"/>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(2) 本工程1号楼、2号楼、3号楼、5号楼、6号楼、7号楼、8号楼、12号楼、15号楼装配式建筑设计相关资料完整，其主体结构、围护墙和内隔墙、技术创新部分的分值均不低于最低分值要求，各单体建筑装配率均不低于</w:t>
      </w:r>
      <w:r>
        <w:rPr>
          <w:rFonts w:ascii="仿宋_GB2312" w:hAnsi="宋体"/>
          <w:bCs/>
          <w:color w:val="000000" w:themeColor="text1"/>
          <w:sz w:val="28"/>
          <w:szCs w:val="28"/>
          <w14:textFill>
            <w14:solidFill>
              <w14:schemeClr w14:val="tx1"/>
            </w14:solidFill>
          </w14:textFill>
        </w:rPr>
        <w:t>50</w:t>
      </w:r>
      <w:r>
        <w:rPr>
          <w:rFonts w:hint="eastAsia" w:ascii="仿宋_GB2312" w:hAnsi="宋体"/>
          <w:bCs/>
          <w:color w:val="000000" w:themeColor="text1"/>
          <w:sz w:val="28"/>
          <w:szCs w:val="28"/>
          <w14:textFill>
            <w14:solidFill>
              <w14:schemeClr w14:val="tx1"/>
            </w14:solidFill>
          </w14:textFill>
        </w:rPr>
        <w:t>%，符合《福建省装配式建筑评价管理办法（试行）》（闽建[2</w:t>
      </w:r>
      <w:r>
        <w:rPr>
          <w:rFonts w:ascii="仿宋_GB2312" w:hAnsi="宋体"/>
          <w:bCs/>
          <w:color w:val="000000" w:themeColor="text1"/>
          <w:sz w:val="28"/>
          <w:szCs w:val="28"/>
          <w14:textFill>
            <w14:solidFill>
              <w14:schemeClr w14:val="tx1"/>
            </w14:solidFill>
          </w14:textFill>
        </w:rPr>
        <w:t>020]4</w:t>
      </w:r>
      <w:r>
        <w:rPr>
          <w:rFonts w:hint="eastAsia" w:ascii="仿宋_GB2312" w:hAnsi="宋体"/>
          <w:bCs/>
          <w:color w:val="000000" w:themeColor="text1"/>
          <w:sz w:val="28"/>
          <w:szCs w:val="28"/>
          <w14:textFill>
            <w14:solidFill>
              <w14:schemeClr w14:val="tx1"/>
            </w14:solidFill>
          </w14:textFill>
        </w:rPr>
        <w:t>号）的相关规定，同意本工程1号楼、2号楼、3号楼、5号楼、6号楼、7号楼、8号楼、12号楼、15号楼设计阶段评价为装配式建筑。</w:t>
      </w:r>
    </w:p>
    <w:p>
      <w:pPr>
        <w:spacing w:line="500" w:lineRule="exact"/>
        <w:rPr>
          <w:rFonts w:ascii="仿宋_GB2312" w:hAnsi="宋体"/>
          <w:bCs/>
          <w:color w:val="000000" w:themeColor="text1"/>
          <w:sz w:val="32"/>
          <w:szCs w:val="32"/>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专家名单：</w:t>
      </w:r>
      <w:r>
        <w:rPr>
          <w:rFonts w:hint="eastAsia" w:ascii="仿宋_GB2312" w:hAnsi="宋体"/>
          <w:bCs/>
          <w:color w:val="000000" w:themeColor="text1"/>
          <w:sz w:val="32"/>
          <w:szCs w:val="32"/>
          <w14:textFill>
            <w14:solidFill>
              <w14:schemeClr w14:val="tx1"/>
            </w14:solidFill>
          </w14:textFill>
        </w:rPr>
        <w:t xml:space="preserve">  </w:t>
      </w:r>
    </w:p>
    <w:p>
      <w:pPr>
        <w:widowControl/>
        <w:spacing w:line="500" w:lineRule="exact"/>
        <w:jc w:val="left"/>
        <w:rPr>
          <w:rFonts w:ascii="仿宋_GB2312" w:hAnsi="宋体"/>
          <w:bCs/>
          <w:color w:val="000000" w:themeColor="text1"/>
          <w:sz w:val="28"/>
          <w:szCs w:val="28"/>
          <w14:textFill>
            <w14:solidFill>
              <w14:schemeClr w14:val="tx1"/>
            </w14:solidFill>
          </w14:textFill>
        </w:rPr>
      </w:pPr>
      <w:bookmarkStart w:id="1" w:name="_Hlk37145059"/>
      <w:r>
        <w:rPr>
          <w:rFonts w:hint="eastAsia" w:ascii="仿宋_GB2312" w:hAnsi="宋体"/>
          <w:bCs/>
          <w:color w:val="000000" w:themeColor="text1"/>
          <w:sz w:val="28"/>
          <w:szCs w:val="28"/>
          <w14:textFill>
            <w14:solidFill>
              <w14:schemeClr w14:val="tx1"/>
            </w14:solidFill>
          </w14:textFill>
        </w:rPr>
        <w:t>福建省建筑工程技术中心          郑卫基   教授级高工</w:t>
      </w:r>
    </w:p>
    <w:p>
      <w:pPr>
        <w:widowControl/>
        <w:spacing w:line="500" w:lineRule="exact"/>
        <w:jc w:val="left"/>
        <w:rPr>
          <w:rFonts w:ascii="仿宋_GB2312" w:hAnsi="宋体"/>
          <w:bCs/>
          <w:color w:val="000000" w:themeColor="text1"/>
          <w:sz w:val="28"/>
          <w:szCs w:val="28"/>
          <w14:textFill>
            <w14:solidFill>
              <w14:schemeClr w14:val="tx1"/>
            </w14:solidFill>
          </w14:textFill>
        </w:rPr>
      </w:pPr>
    </w:p>
    <w:p>
      <w:pPr>
        <w:widowControl/>
        <w:spacing w:line="500" w:lineRule="exact"/>
        <w:jc w:val="left"/>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福州市建筑设计院有限责任公司    翁锦华   教授级高工</w:t>
      </w:r>
    </w:p>
    <w:p>
      <w:pPr>
        <w:widowControl/>
        <w:spacing w:line="500" w:lineRule="exact"/>
        <w:jc w:val="left"/>
        <w:rPr>
          <w:rFonts w:ascii="仿宋_GB2312" w:hAnsi="宋体"/>
          <w:bCs/>
          <w:color w:val="000000" w:themeColor="text1"/>
          <w:sz w:val="28"/>
          <w:szCs w:val="28"/>
          <w14:textFill>
            <w14:solidFill>
              <w14:schemeClr w14:val="tx1"/>
            </w14:solidFill>
          </w14:textFill>
        </w:rPr>
      </w:pPr>
    </w:p>
    <w:bookmarkEnd w:id="1"/>
    <w:p>
      <w:pPr>
        <w:widowControl/>
        <w:spacing w:line="500" w:lineRule="exact"/>
        <w:jc w:val="left"/>
        <w:rPr>
          <w:rFonts w:hint="eastAsia"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lang w:val="en-US" w:eastAsia="zh-CN"/>
          <w14:textFill>
            <w14:solidFill>
              <w14:schemeClr w14:val="tx1"/>
            </w14:solidFill>
          </w14:textFill>
        </w:rPr>
        <w:t xml:space="preserve">北京蓝图工程设计有限公司    </w:t>
      </w:r>
      <w:bookmarkStart w:id="2" w:name="_GoBack"/>
      <w:bookmarkEnd w:id="2"/>
      <w:r>
        <w:rPr>
          <w:rFonts w:hint="eastAsia" w:ascii="仿宋_GB2312" w:hAnsi="宋体"/>
          <w:bCs/>
          <w:color w:val="000000" w:themeColor="text1"/>
          <w:sz w:val="28"/>
          <w:szCs w:val="28"/>
          <w14:textFill>
            <w14:solidFill>
              <w14:schemeClr w14:val="tx1"/>
            </w14:solidFill>
          </w14:textFill>
        </w:rPr>
        <w:t xml:space="preserve">    石晓航   高级工程师</w:t>
      </w:r>
    </w:p>
    <w:p>
      <w:pPr>
        <w:wordWrap w:val="0"/>
        <w:spacing w:line="560" w:lineRule="exact"/>
        <w:ind w:right="1120"/>
        <w:jc w:val="right"/>
        <w:rPr>
          <w:rFonts w:hint="eastAsia"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32"/>
          <w:szCs w:val="32"/>
          <w14:textFill>
            <w14:solidFill>
              <w14:schemeClr w14:val="tx1"/>
            </w14:solidFill>
          </w14:textFill>
        </w:rPr>
        <w:t>20</w:t>
      </w:r>
      <w:r>
        <w:rPr>
          <w:rFonts w:ascii="仿宋_GB2312" w:hAnsi="宋体"/>
          <w:bCs/>
          <w:color w:val="000000" w:themeColor="text1"/>
          <w:sz w:val="32"/>
          <w:szCs w:val="32"/>
          <w14:textFill>
            <w14:solidFill>
              <w14:schemeClr w14:val="tx1"/>
            </w14:solidFill>
          </w14:textFill>
        </w:rPr>
        <w:t>20</w:t>
      </w:r>
      <w:r>
        <w:rPr>
          <w:rFonts w:hint="eastAsia" w:ascii="仿宋_GB2312" w:hAnsi="宋体"/>
          <w:bCs/>
          <w:color w:val="000000" w:themeColor="text1"/>
          <w:sz w:val="32"/>
          <w:szCs w:val="32"/>
          <w14:textFill>
            <w14:solidFill>
              <w14:schemeClr w14:val="tx1"/>
            </w14:solidFill>
          </w14:textFill>
        </w:rPr>
        <w:t xml:space="preserve">年 </w:t>
      </w:r>
      <w:r>
        <w:rPr>
          <w:rFonts w:hint="eastAsia" w:ascii="仿宋_GB2312" w:hAnsi="宋体"/>
          <w:bCs/>
          <w:color w:val="000000" w:themeColor="text1"/>
          <w:sz w:val="32"/>
          <w:szCs w:val="32"/>
          <w:lang w:val="en-US" w:eastAsia="zh-CN"/>
          <w14:textFill>
            <w14:solidFill>
              <w14:schemeClr w14:val="tx1"/>
            </w14:solidFill>
          </w14:textFill>
        </w:rPr>
        <w:t>12</w:t>
      </w:r>
      <w:r>
        <w:rPr>
          <w:rFonts w:hint="eastAsia" w:ascii="仿宋_GB2312" w:hAnsi="宋体"/>
          <w:bCs/>
          <w:color w:val="000000" w:themeColor="text1"/>
          <w:sz w:val="32"/>
          <w:szCs w:val="32"/>
          <w14:textFill>
            <w14:solidFill>
              <w14:schemeClr w14:val="tx1"/>
            </w14:solidFill>
          </w14:textFill>
        </w:rPr>
        <w:t>月</w:t>
      </w:r>
      <w:r>
        <w:rPr>
          <w:rFonts w:hint="eastAsia" w:ascii="仿宋_GB2312" w:hAnsi="宋体"/>
          <w:bCs/>
          <w:color w:val="000000" w:themeColor="text1"/>
          <w:sz w:val="32"/>
          <w:szCs w:val="32"/>
          <w:lang w:val="en-US" w:eastAsia="zh-CN"/>
          <w14:textFill>
            <w14:solidFill>
              <w14:schemeClr w14:val="tx1"/>
            </w14:solidFill>
          </w14:textFill>
        </w:rPr>
        <w:t>24</w:t>
      </w:r>
      <w:r>
        <w:rPr>
          <w:rFonts w:hint="eastAsia" w:ascii="仿宋_GB2312" w:hAnsi="宋体"/>
          <w:bCs/>
          <w:color w:val="000000" w:themeColor="text1"/>
          <w:sz w:val="32"/>
          <w:szCs w:val="32"/>
          <w14:textFill>
            <w14:solidFill>
              <w14:schemeClr w14:val="tx1"/>
            </w14:solidFill>
          </w14:textFill>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8F1"/>
    <w:rsid w:val="00001B22"/>
    <w:rsid w:val="00010964"/>
    <w:rsid w:val="00014F9D"/>
    <w:rsid w:val="00031127"/>
    <w:rsid w:val="0004477B"/>
    <w:rsid w:val="00046A04"/>
    <w:rsid w:val="00047EB2"/>
    <w:rsid w:val="0007069E"/>
    <w:rsid w:val="00077D10"/>
    <w:rsid w:val="000926B5"/>
    <w:rsid w:val="000D1E2F"/>
    <w:rsid w:val="000D4AAE"/>
    <w:rsid w:val="0010062D"/>
    <w:rsid w:val="00102AA7"/>
    <w:rsid w:val="001033B3"/>
    <w:rsid w:val="0010602A"/>
    <w:rsid w:val="00126E41"/>
    <w:rsid w:val="00132E0C"/>
    <w:rsid w:val="0014787D"/>
    <w:rsid w:val="00163DFC"/>
    <w:rsid w:val="00165380"/>
    <w:rsid w:val="0017310D"/>
    <w:rsid w:val="00183BD2"/>
    <w:rsid w:val="00194C1F"/>
    <w:rsid w:val="00197BBA"/>
    <w:rsid w:val="001C3C5E"/>
    <w:rsid w:val="001D5637"/>
    <w:rsid w:val="001E26E0"/>
    <w:rsid w:val="001E7EF4"/>
    <w:rsid w:val="001F36AF"/>
    <w:rsid w:val="001F6650"/>
    <w:rsid w:val="00201A39"/>
    <w:rsid w:val="002276C6"/>
    <w:rsid w:val="002418B9"/>
    <w:rsid w:val="002564A1"/>
    <w:rsid w:val="00256954"/>
    <w:rsid w:val="00264A07"/>
    <w:rsid w:val="00266F67"/>
    <w:rsid w:val="0027394F"/>
    <w:rsid w:val="00275074"/>
    <w:rsid w:val="00275F6B"/>
    <w:rsid w:val="002F1876"/>
    <w:rsid w:val="002F3645"/>
    <w:rsid w:val="00313EDE"/>
    <w:rsid w:val="00314788"/>
    <w:rsid w:val="00336B4A"/>
    <w:rsid w:val="00386DC6"/>
    <w:rsid w:val="00395FE2"/>
    <w:rsid w:val="003A075E"/>
    <w:rsid w:val="003A67F1"/>
    <w:rsid w:val="003B19E1"/>
    <w:rsid w:val="003C3DA3"/>
    <w:rsid w:val="003C5583"/>
    <w:rsid w:val="003F1080"/>
    <w:rsid w:val="003F29B4"/>
    <w:rsid w:val="00401717"/>
    <w:rsid w:val="00401DC9"/>
    <w:rsid w:val="00405489"/>
    <w:rsid w:val="004134B0"/>
    <w:rsid w:val="0042500C"/>
    <w:rsid w:val="00452851"/>
    <w:rsid w:val="00454C02"/>
    <w:rsid w:val="00470502"/>
    <w:rsid w:val="00470F87"/>
    <w:rsid w:val="00472DE0"/>
    <w:rsid w:val="00473323"/>
    <w:rsid w:val="00497AC5"/>
    <w:rsid w:val="004B0A0F"/>
    <w:rsid w:val="004B319C"/>
    <w:rsid w:val="004C1189"/>
    <w:rsid w:val="004D662F"/>
    <w:rsid w:val="004E0F00"/>
    <w:rsid w:val="00501F00"/>
    <w:rsid w:val="00515EDB"/>
    <w:rsid w:val="00542F98"/>
    <w:rsid w:val="00543AE6"/>
    <w:rsid w:val="00552FBD"/>
    <w:rsid w:val="00566CC9"/>
    <w:rsid w:val="00570225"/>
    <w:rsid w:val="005933D1"/>
    <w:rsid w:val="00593FED"/>
    <w:rsid w:val="005A4799"/>
    <w:rsid w:val="005B1F0A"/>
    <w:rsid w:val="005C24E9"/>
    <w:rsid w:val="005C70D8"/>
    <w:rsid w:val="005D20BF"/>
    <w:rsid w:val="005D5E31"/>
    <w:rsid w:val="005E4295"/>
    <w:rsid w:val="006207BF"/>
    <w:rsid w:val="00631A3C"/>
    <w:rsid w:val="00634CFA"/>
    <w:rsid w:val="00637807"/>
    <w:rsid w:val="0064431A"/>
    <w:rsid w:val="0065227A"/>
    <w:rsid w:val="00655515"/>
    <w:rsid w:val="006700FC"/>
    <w:rsid w:val="006708B3"/>
    <w:rsid w:val="00672469"/>
    <w:rsid w:val="00683C5D"/>
    <w:rsid w:val="006917C5"/>
    <w:rsid w:val="0069432D"/>
    <w:rsid w:val="006A2D8E"/>
    <w:rsid w:val="006B3BF2"/>
    <w:rsid w:val="006E5018"/>
    <w:rsid w:val="006E72C0"/>
    <w:rsid w:val="00716E46"/>
    <w:rsid w:val="00720B01"/>
    <w:rsid w:val="007244D2"/>
    <w:rsid w:val="00725480"/>
    <w:rsid w:val="00737193"/>
    <w:rsid w:val="00747FAE"/>
    <w:rsid w:val="0076048A"/>
    <w:rsid w:val="00764349"/>
    <w:rsid w:val="007667C3"/>
    <w:rsid w:val="007877E5"/>
    <w:rsid w:val="007913A3"/>
    <w:rsid w:val="007B001B"/>
    <w:rsid w:val="007B100A"/>
    <w:rsid w:val="007B3262"/>
    <w:rsid w:val="007B3F05"/>
    <w:rsid w:val="007C0C62"/>
    <w:rsid w:val="007C41FD"/>
    <w:rsid w:val="007C5C37"/>
    <w:rsid w:val="007C5D22"/>
    <w:rsid w:val="007D542A"/>
    <w:rsid w:val="007F3ADF"/>
    <w:rsid w:val="007F43ED"/>
    <w:rsid w:val="007F7AD2"/>
    <w:rsid w:val="007F7F01"/>
    <w:rsid w:val="00835B9B"/>
    <w:rsid w:val="00835E6E"/>
    <w:rsid w:val="008409ED"/>
    <w:rsid w:val="008453FD"/>
    <w:rsid w:val="00871BF4"/>
    <w:rsid w:val="00881ECF"/>
    <w:rsid w:val="00892760"/>
    <w:rsid w:val="008A5380"/>
    <w:rsid w:val="008C0A7F"/>
    <w:rsid w:val="008C6CDB"/>
    <w:rsid w:val="008D0CE4"/>
    <w:rsid w:val="008D0EBC"/>
    <w:rsid w:val="008D2374"/>
    <w:rsid w:val="008D34F1"/>
    <w:rsid w:val="008E68D6"/>
    <w:rsid w:val="008E7AA0"/>
    <w:rsid w:val="008F443E"/>
    <w:rsid w:val="008F4FA7"/>
    <w:rsid w:val="00951DA6"/>
    <w:rsid w:val="00954523"/>
    <w:rsid w:val="0097603E"/>
    <w:rsid w:val="00977FE9"/>
    <w:rsid w:val="00996017"/>
    <w:rsid w:val="009B0975"/>
    <w:rsid w:val="009B5AEA"/>
    <w:rsid w:val="009C1334"/>
    <w:rsid w:val="009D0729"/>
    <w:rsid w:val="009D74D2"/>
    <w:rsid w:val="009E3C0B"/>
    <w:rsid w:val="009F3F01"/>
    <w:rsid w:val="009F602B"/>
    <w:rsid w:val="00A06890"/>
    <w:rsid w:val="00A127BF"/>
    <w:rsid w:val="00A328CF"/>
    <w:rsid w:val="00A51CE5"/>
    <w:rsid w:val="00A57202"/>
    <w:rsid w:val="00A579A0"/>
    <w:rsid w:val="00A65FA3"/>
    <w:rsid w:val="00A87BC2"/>
    <w:rsid w:val="00A940B7"/>
    <w:rsid w:val="00AC2DF1"/>
    <w:rsid w:val="00AF222E"/>
    <w:rsid w:val="00AF39F0"/>
    <w:rsid w:val="00B00E2C"/>
    <w:rsid w:val="00B161FE"/>
    <w:rsid w:val="00B23714"/>
    <w:rsid w:val="00B331D6"/>
    <w:rsid w:val="00B37156"/>
    <w:rsid w:val="00B46B58"/>
    <w:rsid w:val="00B5072D"/>
    <w:rsid w:val="00B5599C"/>
    <w:rsid w:val="00B55F79"/>
    <w:rsid w:val="00B61F59"/>
    <w:rsid w:val="00B667C5"/>
    <w:rsid w:val="00B67A7F"/>
    <w:rsid w:val="00B71EB3"/>
    <w:rsid w:val="00B82041"/>
    <w:rsid w:val="00B97844"/>
    <w:rsid w:val="00BA5914"/>
    <w:rsid w:val="00BD3D08"/>
    <w:rsid w:val="00BE78A6"/>
    <w:rsid w:val="00BE7F9D"/>
    <w:rsid w:val="00BF7DEB"/>
    <w:rsid w:val="00C04DA3"/>
    <w:rsid w:val="00C06CF4"/>
    <w:rsid w:val="00C10669"/>
    <w:rsid w:val="00C11CF3"/>
    <w:rsid w:val="00C13A83"/>
    <w:rsid w:val="00C31A6B"/>
    <w:rsid w:val="00C33332"/>
    <w:rsid w:val="00C5093B"/>
    <w:rsid w:val="00C518AD"/>
    <w:rsid w:val="00C643A8"/>
    <w:rsid w:val="00C65907"/>
    <w:rsid w:val="00C75967"/>
    <w:rsid w:val="00C9015F"/>
    <w:rsid w:val="00CA6D8C"/>
    <w:rsid w:val="00CB3DB3"/>
    <w:rsid w:val="00CD5E97"/>
    <w:rsid w:val="00CE149E"/>
    <w:rsid w:val="00CE1C0D"/>
    <w:rsid w:val="00CE47E1"/>
    <w:rsid w:val="00CF2E1A"/>
    <w:rsid w:val="00D0565A"/>
    <w:rsid w:val="00D12B36"/>
    <w:rsid w:val="00D206DF"/>
    <w:rsid w:val="00D21431"/>
    <w:rsid w:val="00D4055C"/>
    <w:rsid w:val="00D8147B"/>
    <w:rsid w:val="00D81B07"/>
    <w:rsid w:val="00D863FF"/>
    <w:rsid w:val="00D9255A"/>
    <w:rsid w:val="00D94237"/>
    <w:rsid w:val="00DA012F"/>
    <w:rsid w:val="00DC1D70"/>
    <w:rsid w:val="00DE02C7"/>
    <w:rsid w:val="00DE251E"/>
    <w:rsid w:val="00DF3095"/>
    <w:rsid w:val="00E26CEA"/>
    <w:rsid w:val="00E3475D"/>
    <w:rsid w:val="00E42237"/>
    <w:rsid w:val="00E43326"/>
    <w:rsid w:val="00E53EAD"/>
    <w:rsid w:val="00E678F1"/>
    <w:rsid w:val="00E73862"/>
    <w:rsid w:val="00E74B2C"/>
    <w:rsid w:val="00E9304E"/>
    <w:rsid w:val="00E97743"/>
    <w:rsid w:val="00EA2F13"/>
    <w:rsid w:val="00EB3C07"/>
    <w:rsid w:val="00EC3F63"/>
    <w:rsid w:val="00EC740C"/>
    <w:rsid w:val="00EE00A5"/>
    <w:rsid w:val="00F06F3C"/>
    <w:rsid w:val="00F1702A"/>
    <w:rsid w:val="00F26D4E"/>
    <w:rsid w:val="00F32BDC"/>
    <w:rsid w:val="00F411CB"/>
    <w:rsid w:val="00F506C3"/>
    <w:rsid w:val="00F52922"/>
    <w:rsid w:val="00F56423"/>
    <w:rsid w:val="00F57DBB"/>
    <w:rsid w:val="00F65F13"/>
    <w:rsid w:val="00F75491"/>
    <w:rsid w:val="00F9673B"/>
    <w:rsid w:val="00FA4649"/>
    <w:rsid w:val="00FB0E74"/>
    <w:rsid w:val="00FB1BD1"/>
    <w:rsid w:val="00FC00F3"/>
    <w:rsid w:val="00FC5B5C"/>
    <w:rsid w:val="00FF57E2"/>
    <w:rsid w:val="00FF5CD4"/>
    <w:rsid w:val="02AD602F"/>
    <w:rsid w:val="02AF00B3"/>
    <w:rsid w:val="02CE7EAB"/>
    <w:rsid w:val="03151AC3"/>
    <w:rsid w:val="06B17687"/>
    <w:rsid w:val="0860640D"/>
    <w:rsid w:val="0BF36FF7"/>
    <w:rsid w:val="0C364933"/>
    <w:rsid w:val="0C540555"/>
    <w:rsid w:val="0D7350F2"/>
    <w:rsid w:val="0FEB62E3"/>
    <w:rsid w:val="10527066"/>
    <w:rsid w:val="12750247"/>
    <w:rsid w:val="130B3D11"/>
    <w:rsid w:val="147C11FC"/>
    <w:rsid w:val="14B053A7"/>
    <w:rsid w:val="1539655D"/>
    <w:rsid w:val="15F0183D"/>
    <w:rsid w:val="16940223"/>
    <w:rsid w:val="181025D6"/>
    <w:rsid w:val="1A4816C0"/>
    <w:rsid w:val="1A4C6BBB"/>
    <w:rsid w:val="1C471301"/>
    <w:rsid w:val="1DC21729"/>
    <w:rsid w:val="1DCC4B11"/>
    <w:rsid w:val="1FA3511C"/>
    <w:rsid w:val="2114547D"/>
    <w:rsid w:val="222375F7"/>
    <w:rsid w:val="227F5EAB"/>
    <w:rsid w:val="2304780B"/>
    <w:rsid w:val="25297BA2"/>
    <w:rsid w:val="27C5207C"/>
    <w:rsid w:val="288A2A7D"/>
    <w:rsid w:val="29F13054"/>
    <w:rsid w:val="2A763612"/>
    <w:rsid w:val="2E0E3CD2"/>
    <w:rsid w:val="2EB441D0"/>
    <w:rsid w:val="32AA10B9"/>
    <w:rsid w:val="35FF5A86"/>
    <w:rsid w:val="36307512"/>
    <w:rsid w:val="36520928"/>
    <w:rsid w:val="36CC4C76"/>
    <w:rsid w:val="370016E2"/>
    <w:rsid w:val="38A1306C"/>
    <w:rsid w:val="39BA2A24"/>
    <w:rsid w:val="3A957C68"/>
    <w:rsid w:val="3BDA5482"/>
    <w:rsid w:val="3C4A2BDA"/>
    <w:rsid w:val="3DDE15E1"/>
    <w:rsid w:val="3E612243"/>
    <w:rsid w:val="3FF52BA4"/>
    <w:rsid w:val="42984D94"/>
    <w:rsid w:val="42DF3068"/>
    <w:rsid w:val="43B66D3F"/>
    <w:rsid w:val="43CC6C26"/>
    <w:rsid w:val="452C451B"/>
    <w:rsid w:val="486662B1"/>
    <w:rsid w:val="48DB0A9A"/>
    <w:rsid w:val="495070E8"/>
    <w:rsid w:val="49604A66"/>
    <w:rsid w:val="4BB20089"/>
    <w:rsid w:val="4C1A4DC8"/>
    <w:rsid w:val="4C6B4EF9"/>
    <w:rsid w:val="4D026D32"/>
    <w:rsid w:val="4D2C74CB"/>
    <w:rsid w:val="4FE64EF3"/>
    <w:rsid w:val="504A0E65"/>
    <w:rsid w:val="50675880"/>
    <w:rsid w:val="50C51AFA"/>
    <w:rsid w:val="52715AB1"/>
    <w:rsid w:val="53083639"/>
    <w:rsid w:val="539A53CE"/>
    <w:rsid w:val="54686BAD"/>
    <w:rsid w:val="5A7A1531"/>
    <w:rsid w:val="5B9E0AC4"/>
    <w:rsid w:val="5C040C64"/>
    <w:rsid w:val="5D2141E0"/>
    <w:rsid w:val="5D633F30"/>
    <w:rsid w:val="5E797F0D"/>
    <w:rsid w:val="5F291774"/>
    <w:rsid w:val="5F43625E"/>
    <w:rsid w:val="5F6E2F1E"/>
    <w:rsid w:val="5FED1447"/>
    <w:rsid w:val="60FC3854"/>
    <w:rsid w:val="62064B2C"/>
    <w:rsid w:val="62CA3B2A"/>
    <w:rsid w:val="65462B98"/>
    <w:rsid w:val="655B6449"/>
    <w:rsid w:val="66F2063F"/>
    <w:rsid w:val="672D4B1D"/>
    <w:rsid w:val="678F5EDC"/>
    <w:rsid w:val="67D60C4A"/>
    <w:rsid w:val="686B09A7"/>
    <w:rsid w:val="68850F92"/>
    <w:rsid w:val="6B2D53B2"/>
    <w:rsid w:val="6BC6086A"/>
    <w:rsid w:val="6C26114A"/>
    <w:rsid w:val="6E242CF9"/>
    <w:rsid w:val="722828EB"/>
    <w:rsid w:val="72C055D8"/>
    <w:rsid w:val="74742163"/>
    <w:rsid w:val="75E959AD"/>
    <w:rsid w:val="78E95987"/>
    <w:rsid w:val="793C11AE"/>
    <w:rsid w:val="7A6F2CDF"/>
    <w:rsid w:val="7B0336F0"/>
    <w:rsid w:val="7B2D19F1"/>
    <w:rsid w:val="7BA65465"/>
    <w:rsid w:val="7BF417FA"/>
    <w:rsid w:val="7C6B473E"/>
    <w:rsid w:val="7C9C3B46"/>
    <w:rsid w:val="7EC26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字符"/>
    <w:link w:val="3"/>
    <w:qFormat/>
    <w:uiPriority w:val="0"/>
    <w:rPr>
      <w:kern w:val="2"/>
      <w:sz w:val="18"/>
      <w:szCs w:val="18"/>
    </w:rPr>
  </w:style>
  <w:style w:type="character" w:customStyle="1" w:styleId="8">
    <w:name w:val="页脚 字符"/>
    <w:link w:val="2"/>
    <w:qFormat/>
    <w:uiPriority w:val="0"/>
    <w:rPr>
      <w:kern w:val="2"/>
      <w:sz w:val="18"/>
      <w:szCs w:val="18"/>
    </w:rPr>
  </w:style>
  <w:style w:type="paragraph" w:customStyle="1" w:styleId="9">
    <w:name w:val="p0"/>
    <w:basedOn w:val="1"/>
    <w:qFormat/>
    <w:uiPriority w:val="0"/>
    <w:pPr>
      <w:widowControl/>
    </w:pPr>
    <w:rPr>
      <w:kern w:val="0"/>
      <w:sz w:val="32"/>
      <w:szCs w:val="32"/>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福州市建筑设计院</Company>
  <Pages>2</Pages>
  <Words>195</Words>
  <Characters>1114</Characters>
  <Lines>9</Lines>
  <Paragraphs>2</Paragraphs>
  <TotalTime>264</TotalTime>
  <ScaleCrop>false</ScaleCrop>
  <LinksUpToDate>false</LinksUpToDate>
  <CharactersWithSpaces>1307</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2019-06-19T02:15:00Z</dcterms:created>
  <dc:creator>设备用户</dc:creator>
  <cp:lastModifiedBy>风</cp:lastModifiedBy>
  <dcterms:modified xsi:type="dcterms:W3CDTF">2020-12-30T03:49:13Z</dcterms:modified>
  <dc:title>福兴经济开发区提升改造项目C1地块</dc:title>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