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联发臻品公馆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”项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目1#楼、S1#楼、P1#楼</w:t>
      </w:r>
    </w:p>
    <w:p>
      <w:pPr>
        <w:jc w:val="center"/>
        <w:rPr>
          <w:rFonts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装配式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建筑设计阶段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预评价</w:t>
      </w:r>
      <w:r>
        <w:rPr>
          <w:rFonts w:hint="eastAsia"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专家论证意见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年11月10日，福州榕盛置业有限公司在福州市组织召开“联发臻品公馆”项目1#楼、S1#楼、P1#楼装配式建筑设计阶段预评价专家论证会，会议由福州榕盛置业有限公司主持，设计单位、施工图审查单位、评审专家参加了会议。</w:t>
      </w:r>
    </w:p>
    <w:p>
      <w:pPr>
        <w:spacing w:line="490" w:lineRule="exact"/>
        <w:ind w:firstLine="560" w:firstLineChars="200"/>
        <w:jc w:val="left"/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程基本简况如下：该项目位于福州市台江区。拟建2栋住宅、商业及配套，总建筑面积为15903.62㎡，总计容建筑面积为12224.75㎡。其中1#楼、S1#楼、P1#楼采用预制装配式混凝土结构，装配式楼栋的计容建筑面积为6116.37/12224.75=50.03%&gt;50%，满足福州市人民政府文件榕政综〔2017〕1164号的相关规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560" w:firstLineChars="200"/>
        <w:jc w:val="left"/>
        <w:textAlignment w:val="auto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各单体预制装配内容及装配率详下表：</w:t>
      </w:r>
    </w:p>
    <w:tbl>
      <w:tblPr>
        <w:tblStyle w:val="5"/>
        <w:tblW w:w="4329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6"/>
        <w:gridCol w:w="2621"/>
        <w:gridCol w:w="867"/>
        <w:gridCol w:w="867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3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评价项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1#楼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S1#楼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P1#楼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37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主体结构</w:t>
            </w: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水平预制构件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29.9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29.9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37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装配式建筑设计标准化、模数化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37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部品部件通用化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3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围护墙和内隔墙</w:t>
            </w: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内隔墙非砌筑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195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装修和设备管线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7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技术创新</w:t>
            </w: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设计阶段BIM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7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施工阶段BIM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7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可追溯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7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采用工程总承包模式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195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50.1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50.1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195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装配率（%）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6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6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49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施工图设计文件已通过审图机构审查。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审查机构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福建天正建筑工程施工图审查事务有限公司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合格证编号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3501032106150101-TX-002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与会专家听取了福建省城投科技有限公司及建设单位对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的介绍，经会议研究讨论，形成以下意见：</w:t>
      </w:r>
    </w:p>
    <w:p>
      <w:pPr>
        <w:spacing w:line="490" w:lineRule="exact"/>
        <w:ind w:firstLine="560" w:firstLineChars="200"/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(1)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装配式建造的建筑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面积不小于总建筑面积计容部分的50%，满足福州市人民政府文件榕政综〔2017〕1164号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的相关规定，且满足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国有建设用地使用权出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让合同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合同编号：35010020210512P022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相关要求。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1#楼、S1#楼、P1#楼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装配式建筑设计相关资料完整，其主体结构、围护墙和内隔墙、技术创新部分的分值均不低于最低分值要求，各单体建筑装配率均不低于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%，符合《福建省装配式建筑评价管理办法（试行）》（闽建[2</w:t>
      </w:r>
      <w:r>
        <w:rPr>
          <w:rFonts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020]4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号）的相关规定，同意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该工程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1#楼、S1#楼、P1#楼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设计阶段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预</w:t>
      </w:r>
      <w:bookmarkStart w:id="1" w:name="_GoBack"/>
      <w:bookmarkEnd w:id="1"/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评价为装配式建筑。</w:t>
      </w:r>
    </w:p>
    <w:p>
      <w:pPr>
        <w:spacing w:line="490" w:lineRule="exact"/>
        <w:ind w:firstLine="560" w:firstLineChars="200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专家名单：</w:t>
      </w:r>
      <w:r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500" w:lineRule="exact"/>
        <w:rPr>
          <w:rFonts w:hint="eastAsia"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Hlk37145059"/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郑卫基   教授级高工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福建省建筑工程技术中心 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翁锦华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教授级高工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福州市建筑设计院有限责任公司   </w:t>
      </w:r>
    </w:p>
    <w:p>
      <w:pPr>
        <w:widowControl/>
        <w:spacing w:line="500" w:lineRule="exact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bookmarkEnd w:id="0"/>
    <w:p>
      <w:pPr>
        <w:widowControl/>
        <w:spacing w:line="500" w:lineRule="exact"/>
        <w:ind w:left="3360" w:hanging="3360" w:hangingChars="1200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石晓航   高级工程师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北京华巨建筑规划设计院有限公司福州分公司 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spacing w:line="500" w:lineRule="exact"/>
        <w:ind w:left="3360" w:hanging="3360" w:hangingChars="1200"/>
        <w:jc w:val="left"/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500" w:lineRule="exact"/>
        <w:ind w:left="3360" w:hanging="3360" w:hangingChars="1200"/>
        <w:jc w:val="right"/>
        <w:rPr>
          <w:rFonts w:ascii="仿宋_GB2312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仿宋_GB2312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F1"/>
    <w:rsid w:val="00001B22"/>
    <w:rsid w:val="00010964"/>
    <w:rsid w:val="00014F9D"/>
    <w:rsid w:val="00031127"/>
    <w:rsid w:val="0004477B"/>
    <w:rsid w:val="00046A04"/>
    <w:rsid w:val="00047EB2"/>
    <w:rsid w:val="0007069E"/>
    <w:rsid w:val="00077D10"/>
    <w:rsid w:val="000926B5"/>
    <w:rsid w:val="000D1E2F"/>
    <w:rsid w:val="000D4AAE"/>
    <w:rsid w:val="0010062D"/>
    <w:rsid w:val="00102AA7"/>
    <w:rsid w:val="001033B3"/>
    <w:rsid w:val="0010602A"/>
    <w:rsid w:val="00126E41"/>
    <w:rsid w:val="00132E0C"/>
    <w:rsid w:val="0014787D"/>
    <w:rsid w:val="00165380"/>
    <w:rsid w:val="0017310D"/>
    <w:rsid w:val="00183BD2"/>
    <w:rsid w:val="00194C1F"/>
    <w:rsid w:val="001C3C5E"/>
    <w:rsid w:val="001D5637"/>
    <w:rsid w:val="001E26E0"/>
    <w:rsid w:val="001E7EF4"/>
    <w:rsid w:val="001F36AF"/>
    <w:rsid w:val="001F6650"/>
    <w:rsid w:val="00201A39"/>
    <w:rsid w:val="002276C6"/>
    <w:rsid w:val="002418B9"/>
    <w:rsid w:val="002564A1"/>
    <w:rsid w:val="00256954"/>
    <w:rsid w:val="00264A07"/>
    <w:rsid w:val="00266F67"/>
    <w:rsid w:val="0027394F"/>
    <w:rsid w:val="00275074"/>
    <w:rsid w:val="00275F6B"/>
    <w:rsid w:val="002F1876"/>
    <w:rsid w:val="002F3645"/>
    <w:rsid w:val="00313EDE"/>
    <w:rsid w:val="00336B4A"/>
    <w:rsid w:val="00386DC6"/>
    <w:rsid w:val="00395FE2"/>
    <w:rsid w:val="003A075E"/>
    <w:rsid w:val="003A67F1"/>
    <w:rsid w:val="003B19E1"/>
    <w:rsid w:val="003C3DA3"/>
    <w:rsid w:val="003C5583"/>
    <w:rsid w:val="003F1080"/>
    <w:rsid w:val="003F29B4"/>
    <w:rsid w:val="00401717"/>
    <w:rsid w:val="00401DC9"/>
    <w:rsid w:val="00405489"/>
    <w:rsid w:val="004134B0"/>
    <w:rsid w:val="0042500C"/>
    <w:rsid w:val="00452851"/>
    <w:rsid w:val="00454C02"/>
    <w:rsid w:val="00470502"/>
    <w:rsid w:val="00470F87"/>
    <w:rsid w:val="00472DE0"/>
    <w:rsid w:val="00473323"/>
    <w:rsid w:val="00497AC5"/>
    <w:rsid w:val="004B0A0F"/>
    <w:rsid w:val="004B319C"/>
    <w:rsid w:val="004C1189"/>
    <w:rsid w:val="004D662F"/>
    <w:rsid w:val="004E0F00"/>
    <w:rsid w:val="00501F00"/>
    <w:rsid w:val="00515EDB"/>
    <w:rsid w:val="00542F98"/>
    <w:rsid w:val="00543AE6"/>
    <w:rsid w:val="00552FBD"/>
    <w:rsid w:val="00566CC9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E4295"/>
    <w:rsid w:val="006207BF"/>
    <w:rsid w:val="00631A3C"/>
    <w:rsid w:val="00637807"/>
    <w:rsid w:val="0064431A"/>
    <w:rsid w:val="0065227A"/>
    <w:rsid w:val="00655515"/>
    <w:rsid w:val="006700FC"/>
    <w:rsid w:val="00672469"/>
    <w:rsid w:val="00683C5D"/>
    <w:rsid w:val="006917C5"/>
    <w:rsid w:val="0069432D"/>
    <w:rsid w:val="006A2D8E"/>
    <w:rsid w:val="006B3BF2"/>
    <w:rsid w:val="006E5018"/>
    <w:rsid w:val="006E72C0"/>
    <w:rsid w:val="00716E46"/>
    <w:rsid w:val="00720B01"/>
    <w:rsid w:val="007244D2"/>
    <w:rsid w:val="00725480"/>
    <w:rsid w:val="00737193"/>
    <w:rsid w:val="0076048A"/>
    <w:rsid w:val="00764349"/>
    <w:rsid w:val="007667C3"/>
    <w:rsid w:val="007877E5"/>
    <w:rsid w:val="007913A3"/>
    <w:rsid w:val="007B001B"/>
    <w:rsid w:val="007B100A"/>
    <w:rsid w:val="007B3262"/>
    <w:rsid w:val="007B3F05"/>
    <w:rsid w:val="007C0C62"/>
    <w:rsid w:val="007C41FD"/>
    <w:rsid w:val="007C5C37"/>
    <w:rsid w:val="007C5D22"/>
    <w:rsid w:val="007D542A"/>
    <w:rsid w:val="007F3ADF"/>
    <w:rsid w:val="007F43ED"/>
    <w:rsid w:val="007F7AD2"/>
    <w:rsid w:val="007F7F01"/>
    <w:rsid w:val="00835B9B"/>
    <w:rsid w:val="00835E6E"/>
    <w:rsid w:val="008409ED"/>
    <w:rsid w:val="008453FD"/>
    <w:rsid w:val="00871BF4"/>
    <w:rsid w:val="00881ECF"/>
    <w:rsid w:val="00892760"/>
    <w:rsid w:val="008A5380"/>
    <w:rsid w:val="008C0A7F"/>
    <w:rsid w:val="008C6CDB"/>
    <w:rsid w:val="008D0CE4"/>
    <w:rsid w:val="008D2374"/>
    <w:rsid w:val="008D34F1"/>
    <w:rsid w:val="008E68D6"/>
    <w:rsid w:val="008E7AA0"/>
    <w:rsid w:val="008F443E"/>
    <w:rsid w:val="008F4FA7"/>
    <w:rsid w:val="00951DA6"/>
    <w:rsid w:val="00954523"/>
    <w:rsid w:val="0097603E"/>
    <w:rsid w:val="00977FE9"/>
    <w:rsid w:val="00996017"/>
    <w:rsid w:val="009B0975"/>
    <w:rsid w:val="009B5AEA"/>
    <w:rsid w:val="009C1334"/>
    <w:rsid w:val="009D0729"/>
    <w:rsid w:val="009D74D2"/>
    <w:rsid w:val="009E3C0B"/>
    <w:rsid w:val="009F3F01"/>
    <w:rsid w:val="009F602B"/>
    <w:rsid w:val="00A06890"/>
    <w:rsid w:val="00A127BF"/>
    <w:rsid w:val="00A328CF"/>
    <w:rsid w:val="00A51CE5"/>
    <w:rsid w:val="00A57202"/>
    <w:rsid w:val="00A579A0"/>
    <w:rsid w:val="00A65FA3"/>
    <w:rsid w:val="00A87BC2"/>
    <w:rsid w:val="00A940B7"/>
    <w:rsid w:val="00AC2DF1"/>
    <w:rsid w:val="00AF222E"/>
    <w:rsid w:val="00AF39F0"/>
    <w:rsid w:val="00B00E2C"/>
    <w:rsid w:val="00B161FE"/>
    <w:rsid w:val="00B23714"/>
    <w:rsid w:val="00B331D6"/>
    <w:rsid w:val="00B37156"/>
    <w:rsid w:val="00B46B58"/>
    <w:rsid w:val="00B55F79"/>
    <w:rsid w:val="00B61F59"/>
    <w:rsid w:val="00B667C5"/>
    <w:rsid w:val="00B67A7F"/>
    <w:rsid w:val="00B71EB3"/>
    <w:rsid w:val="00B82041"/>
    <w:rsid w:val="00B97844"/>
    <w:rsid w:val="00BA5914"/>
    <w:rsid w:val="00BD3D08"/>
    <w:rsid w:val="00BE78A6"/>
    <w:rsid w:val="00BE7F9D"/>
    <w:rsid w:val="00BF7DEB"/>
    <w:rsid w:val="00C04DA3"/>
    <w:rsid w:val="00C06CF4"/>
    <w:rsid w:val="00C10669"/>
    <w:rsid w:val="00C11CF3"/>
    <w:rsid w:val="00C13A83"/>
    <w:rsid w:val="00C31A6B"/>
    <w:rsid w:val="00C33332"/>
    <w:rsid w:val="00C5093B"/>
    <w:rsid w:val="00C518AD"/>
    <w:rsid w:val="00C643A8"/>
    <w:rsid w:val="00C65907"/>
    <w:rsid w:val="00C75967"/>
    <w:rsid w:val="00C9015F"/>
    <w:rsid w:val="00CA6D8C"/>
    <w:rsid w:val="00CB3DB3"/>
    <w:rsid w:val="00CD5E97"/>
    <w:rsid w:val="00CE149E"/>
    <w:rsid w:val="00CE1C0D"/>
    <w:rsid w:val="00CE47E1"/>
    <w:rsid w:val="00CF2E1A"/>
    <w:rsid w:val="00D0565A"/>
    <w:rsid w:val="00D12B36"/>
    <w:rsid w:val="00D206DF"/>
    <w:rsid w:val="00D21431"/>
    <w:rsid w:val="00D4055C"/>
    <w:rsid w:val="00D8147B"/>
    <w:rsid w:val="00D81B07"/>
    <w:rsid w:val="00D863FF"/>
    <w:rsid w:val="00D9255A"/>
    <w:rsid w:val="00D94237"/>
    <w:rsid w:val="00DA012F"/>
    <w:rsid w:val="00DC1D70"/>
    <w:rsid w:val="00DE02C7"/>
    <w:rsid w:val="00DE251E"/>
    <w:rsid w:val="00DF3095"/>
    <w:rsid w:val="00E26CEA"/>
    <w:rsid w:val="00E3475D"/>
    <w:rsid w:val="00E42237"/>
    <w:rsid w:val="00E43326"/>
    <w:rsid w:val="00E53EAD"/>
    <w:rsid w:val="00E678F1"/>
    <w:rsid w:val="00E73862"/>
    <w:rsid w:val="00E74B2C"/>
    <w:rsid w:val="00E9304E"/>
    <w:rsid w:val="00E97743"/>
    <w:rsid w:val="00EA2F13"/>
    <w:rsid w:val="00EB3C07"/>
    <w:rsid w:val="00EC3F63"/>
    <w:rsid w:val="00EC740C"/>
    <w:rsid w:val="00EE00A5"/>
    <w:rsid w:val="00F06F3C"/>
    <w:rsid w:val="00F1702A"/>
    <w:rsid w:val="00F26D4E"/>
    <w:rsid w:val="00F411CB"/>
    <w:rsid w:val="00F506C3"/>
    <w:rsid w:val="00F52922"/>
    <w:rsid w:val="00F56423"/>
    <w:rsid w:val="00F57DBB"/>
    <w:rsid w:val="00F65F13"/>
    <w:rsid w:val="00F75491"/>
    <w:rsid w:val="00F9673B"/>
    <w:rsid w:val="00FA4649"/>
    <w:rsid w:val="00FB0E74"/>
    <w:rsid w:val="00FB1BD1"/>
    <w:rsid w:val="00FC00F3"/>
    <w:rsid w:val="00FC5B5C"/>
    <w:rsid w:val="00FF57E2"/>
    <w:rsid w:val="00FF5CD4"/>
    <w:rsid w:val="02AD602F"/>
    <w:rsid w:val="02AF00B3"/>
    <w:rsid w:val="02CE7EAB"/>
    <w:rsid w:val="03151AC3"/>
    <w:rsid w:val="047D70EE"/>
    <w:rsid w:val="05485F6D"/>
    <w:rsid w:val="06B17687"/>
    <w:rsid w:val="073444C3"/>
    <w:rsid w:val="0860640D"/>
    <w:rsid w:val="0BF36FF7"/>
    <w:rsid w:val="0C364933"/>
    <w:rsid w:val="0C540555"/>
    <w:rsid w:val="0CE71176"/>
    <w:rsid w:val="0D7350F2"/>
    <w:rsid w:val="0FEB62E3"/>
    <w:rsid w:val="10527066"/>
    <w:rsid w:val="10C16F37"/>
    <w:rsid w:val="12750247"/>
    <w:rsid w:val="130B3D11"/>
    <w:rsid w:val="147C11FC"/>
    <w:rsid w:val="14B053A7"/>
    <w:rsid w:val="1539655D"/>
    <w:rsid w:val="153B386D"/>
    <w:rsid w:val="15F0183D"/>
    <w:rsid w:val="16940223"/>
    <w:rsid w:val="170008E4"/>
    <w:rsid w:val="181025D6"/>
    <w:rsid w:val="1A4816C0"/>
    <w:rsid w:val="1A4C6BBB"/>
    <w:rsid w:val="1C471301"/>
    <w:rsid w:val="1DC21729"/>
    <w:rsid w:val="1DCC4B11"/>
    <w:rsid w:val="1FA3511C"/>
    <w:rsid w:val="1FB05D3B"/>
    <w:rsid w:val="2114547D"/>
    <w:rsid w:val="222375F7"/>
    <w:rsid w:val="227F5EAB"/>
    <w:rsid w:val="2304780B"/>
    <w:rsid w:val="249F0B72"/>
    <w:rsid w:val="25297BA2"/>
    <w:rsid w:val="258716CB"/>
    <w:rsid w:val="27C5207C"/>
    <w:rsid w:val="288A2A7D"/>
    <w:rsid w:val="28DD5895"/>
    <w:rsid w:val="29E56E87"/>
    <w:rsid w:val="29F13054"/>
    <w:rsid w:val="2A763612"/>
    <w:rsid w:val="2AEF07D4"/>
    <w:rsid w:val="2E0E3CD2"/>
    <w:rsid w:val="2EB441D0"/>
    <w:rsid w:val="2F2A0283"/>
    <w:rsid w:val="328A5446"/>
    <w:rsid w:val="32AA10B9"/>
    <w:rsid w:val="32E9567C"/>
    <w:rsid w:val="33E16507"/>
    <w:rsid w:val="35FF5A86"/>
    <w:rsid w:val="36307512"/>
    <w:rsid w:val="36520928"/>
    <w:rsid w:val="36CC4C76"/>
    <w:rsid w:val="370016E2"/>
    <w:rsid w:val="38A1306C"/>
    <w:rsid w:val="39BA2A24"/>
    <w:rsid w:val="3A3C6C98"/>
    <w:rsid w:val="3A957C68"/>
    <w:rsid w:val="3B890113"/>
    <w:rsid w:val="3BDA5482"/>
    <w:rsid w:val="3C4A2BDA"/>
    <w:rsid w:val="3D7F5855"/>
    <w:rsid w:val="3DCD47F7"/>
    <w:rsid w:val="3DDE15E1"/>
    <w:rsid w:val="3DFF487C"/>
    <w:rsid w:val="3E612243"/>
    <w:rsid w:val="3FF52BA4"/>
    <w:rsid w:val="40036ADB"/>
    <w:rsid w:val="41C30609"/>
    <w:rsid w:val="42984D94"/>
    <w:rsid w:val="42DF3068"/>
    <w:rsid w:val="43B66D3F"/>
    <w:rsid w:val="43CC6C26"/>
    <w:rsid w:val="452C451B"/>
    <w:rsid w:val="460F3BF4"/>
    <w:rsid w:val="486662B1"/>
    <w:rsid w:val="48DB0A9A"/>
    <w:rsid w:val="49197B3C"/>
    <w:rsid w:val="495070E8"/>
    <w:rsid w:val="49604A66"/>
    <w:rsid w:val="4BB20089"/>
    <w:rsid w:val="4C1A4DC8"/>
    <w:rsid w:val="4C6B4EF9"/>
    <w:rsid w:val="4CCB5754"/>
    <w:rsid w:val="4D026D32"/>
    <w:rsid w:val="4D2C74CB"/>
    <w:rsid w:val="4D9E569D"/>
    <w:rsid w:val="4F8D4954"/>
    <w:rsid w:val="4FE64EF3"/>
    <w:rsid w:val="504A0E65"/>
    <w:rsid w:val="50675880"/>
    <w:rsid w:val="50A519C6"/>
    <w:rsid w:val="50C51AFA"/>
    <w:rsid w:val="511A5903"/>
    <w:rsid w:val="53083639"/>
    <w:rsid w:val="539A53CE"/>
    <w:rsid w:val="539A601A"/>
    <w:rsid w:val="53F0314D"/>
    <w:rsid w:val="54686BAD"/>
    <w:rsid w:val="554039F5"/>
    <w:rsid w:val="58774BD2"/>
    <w:rsid w:val="5A7A1531"/>
    <w:rsid w:val="5B9E0AC4"/>
    <w:rsid w:val="5C040C64"/>
    <w:rsid w:val="5D2141E0"/>
    <w:rsid w:val="5D633F30"/>
    <w:rsid w:val="5E271827"/>
    <w:rsid w:val="5E797F0D"/>
    <w:rsid w:val="5F291774"/>
    <w:rsid w:val="5F31024D"/>
    <w:rsid w:val="5F43625E"/>
    <w:rsid w:val="5F6E2F1E"/>
    <w:rsid w:val="5FED1447"/>
    <w:rsid w:val="60415878"/>
    <w:rsid w:val="60FC3854"/>
    <w:rsid w:val="61DB24C0"/>
    <w:rsid w:val="62064B2C"/>
    <w:rsid w:val="62CA3B2A"/>
    <w:rsid w:val="62D30DE0"/>
    <w:rsid w:val="65462B98"/>
    <w:rsid w:val="66AA3B93"/>
    <w:rsid w:val="66F2063F"/>
    <w:rsid w:val="672D4B1D"/>
    <w:rsid w:val="678F5EDC"/>
    <w:rsid w:val="67B13784"/>
    <w:rsid w:val="67D60C4A"/>
    <w:rsid w:val="686B09A7"/>
    <w:rsid w:val="687B7FF2"/>
    <w:rsid w:val="68850F92"/>
    <w:rsid w:val="68C838C6"/>
    <w:rsid w:val="694812C7"/>
    <w:rsid w:val="6B2D53B2"/>
    <w:rsid w:val="6B6E0239"/>
    <w:rsid w:val="6BC6086A"/>
    <w:rsid w:val="6C26114A"/>
    <w:rsid w:val="6D047463"/>
    <w:rsid w:val="6E242CF9"/>
    <w:rsid w:val="6EA63CD8"/>
    <w:rsid w:val="704079BB"/>
    <w:rsid w:val="722828EB"/>
    <w:rsid w:val="72C055D8"/>
    <w:rsid w:val="74352325"/>
    <w:rsid w:val="74691543"/>
    <w:rsid w:val="74742163"/>
    <w:rsid w:val="75E959AD"/>
    <w:rsid w:val="7707072D"/>
    <w:rsid w:val="786D7646"/>
    <w:rsid w:val="78D96784"/>
    <w:rsid w:val="78E95987"/>
    <w:rsid w:val="793C11AE"/>
    <w:rsid w:val="7A6F2CDF"/>
    <w:rsid w:val="7B0336F0"/>
    <w:rsid w:val="7B160A7A"/>
    <w:rsid w:val="7B2D19F1"/>
    <w:rsid w:val="7B3D24AE"/>
    <w:rsid w:val="7BA65465"/>
    <w:rsid w:val="7BF417FA"/>
    <w:rsid w:val="7C6B473E"/>
    <w:rsid w:val="7C9C3B46"/>
    <w:rsid w:val="7CC97171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 w:val="32"/>
      <w:szCs w:val="3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福州市建筑设计院</Company>
  <Pages>2</Pages>
  <Words>898</Words>
  <Characters>307</Characters>
  <Lines>2</Lines>
  <Paragraphs>2</Paragraphs>
  <TotalTime>0</TotalTime>
  <ScaleCrop>false</ScaleCrop>
  <LinksUpToDate>false</LinksUpToDate>
  <CharactersWithSpaces>1203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设备用户</dc:creator>
  <cp:lastModifiedBy>安宸</cp:lastModifiedBy>
  <cp:lastPrinted>2021-07-28T03:14:00Z</cp:lastPrinted>
  <dcterms:modified xsi:type="dcterms:W3CDTF">2021-11-11T13:46:53Z</dcterms:modified>
  <dc:title>福兴经济开发区提升改造项目C1地块</dc:title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6F969C2B48194765A7969A029361BA45</vt:lpwstr>
  </property>
</Properties>
</file>