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14:textFill>
            <w14:solidFill>
              <w14:schemeClr w14:val="tx1"/>
            </w14:solidFill>
          </w14:textFill>
        </w:rPr>
        <w:t>“留香郡”项目A地块1#楼、A地块</w:t>
      </w:r>
      <w:r>
        <w:rPr>
          <w:rFonts w:hint="default" w:ascii="黑体" w:hAnsi="黑体" w:eastAsia="黑体"/>
          <w:bCs/>
          <w:color w:val="000000" w:themeColor="text1"/>
          <w:sz w:val="36"/>
          <w:szCs w:val="36"/>
          <w:lang w:val="en-US"/>
          <w14:textFill>
            <w14:solidFill>
              <w14:schemeClr w14:val="tx1"/>
            </w14:solidFill>
          </w14:textFill>
        </w:rPr>
        <w:t>2</w:t>
      </w:r>
      <w:r>
        <w:rPr>
          <w:rFonts w:hint="eastAsia" w:ascii="黑体" w:hAnsi="黑体" w:eastAsia="黑体"/>
          <w:bCs/>
          <w:color w:val="000000" w:themeColor="text1"/>
          <w:sz w:val="36"/>
          <w:szCs w:val="36"/>
          <w14:textFill>
            <w14:solidFill>
              <w14:schemeClr w14:val="tx1"/>
            </w14:solidFill>
          </w14:textFill>
        </w:rPr>
        <w:t>#楼、A地块</w:t>
      </w:r>
      <w:r>
        <w:rPr>
          <w:rFonts w:hint="default" w:ascii="黑体" w:hAnsi="黑体" w:eastAsia="黑体"/>
          <w:bCs/>
          <w:color w:val="000000" w:themeColor="text1"/>
          <w:sz w:val="36"/>
          <w:szCs w:val="36"/>
          <w:lang w:val="en-US"/>
          <w14:textFill>
            <w14:solidFill>
              <w14:schemeClr w14:val="tx1"/>
            </w14:solidFill>
          </w14:textFill>
        </w:rPr>
        <w:t>S2</w:t>
      </w:r>
      <w:r>
        <w:rPr>
          <w:rFonts w:hint="eastAsia" w:ascii="黑体" w:hAnsi="黑体" w:eastAsia="黑体"/>
          <w:bCs/>
          <w:color w:val="000000" w:themeColor="text1"/>
          <w:sz w:val="36"/>
          <w:szCs w:val="36"/>
          <w14:textFill>
            <w14:solidFill>
              <w14:schemeClr w14:val="tx1"/>
            </w14:solidFill>
          </w14:textFill>
        </w:rPr>
        <w:t>#楼、A地块</w:t>
      </w:r>
      <w:r>
        <w:rPr>
          <w:rFonts w:hint="default" w:ascii="黑体" w:hAnsi="黑体" w:eastAsia="黑体"/>
          <w:bCs/>
          <w:color w:val="000000" w:themeColor="text1"/>
          <w:sz w:val="36"/>
          <w:szCs w:val="36"/>
          <w:lang w:val="en-US"/>
          <w14:textFill>
            <w14:solidFill>
              <w14:schemeClr w14:val="tx1"/>
            </w14:solidFill>
          </w14:textFill>
        </w:rPr>
        <w:t>3</w:t>
      </w:r>
      <w:r>
        <w:rPr>
          <w:rFonts w:hint="eastAsia" w:ascii="黑体" w:hAnsi="黑体" w:eastAsia="黑体"/>
          <w:bCs/>
          <w:color w:val="000000" w:themeColor="text1"/>
          <w:sz w:val="36"/>
          <w:szCs w:val="36"/>
          <w14:textFill>
            <w14:solidFill>
              <w14:schemeClr w14:val="tx1"/>
            </w14:solidFill>
          </w14:textFill>
        </w:rPr>
        <w:t>#楼、A地块</w:t>
      </w:r>
      <w:r>
        <w:rPr>
          <w:rFonts w:hint="default" w:ascii="黑体" w:hAnsi="黑体" w:eastAsia="黑体"/>
          <w:bCs/>
          <w:color w:val="000000" w:themeColor="text1"/>
          <w:sz w:val="36"/>
          <w:szCs w:val="36"/>
          <w:lang w:val="en-US"/>
          <w14:textFill>
            <w14:solidFill>
              <w14:schemeClr w14:val="tx1"/>
            </w14:solidFill>
          </w14:textFill>
        </w:rPr>
        <w:t>5</w:t>
      </w:r>
      <w:r>
        <w:rPr>
          <w:rFonts w:hint="eastAsia" w:ascii="黑体" w:hAnsi="黑体" w:eastAsia="黑体"/>
          <w:bCs/>
          <w:color w:val="000000" w:themeColor="text1"/>
          <w:sz w:val="36"/>
          <w:szCs w:val="36"/>
          <w14:textFill>
            <w14:solidFill>
              <w14:schemeClr w14:val="tx1"/>
            </w14:solidFill>
          </w14:textFill>
        </w:rPr>
        <w:t>#楼、A地块</w:t>
      </w:r>
      <w:r>
        <w:rPr>
          <w:rFonts w:hint="default" w:ascii="黑体" w:hAnsi="黑体" w:eastAsia="黑体"/>
          <w:bCs/>
          <w:color w:val="000000" w:themeColor="text1"/>
          <w:sz w:val="36"/>
          <w:szCs w:val="36"/>
          <w:lang w:val="en-US"/>
          <w14:textFill>
            <w14:solidFill>
              <w14:schemeClr w14:val="tx1"/>
            </w14:solidFill>
          </w14:textFill>
        </w:rPr>
        <w:t>7</w:t>
      </w:r>
      <w:r>
        <w:rPr>
          <w:rFonts w:hint="eastAsia" w:ascii="黑体" w:hAnsi="黑体" w:eastAsia="黑体"/>
          <w:bCs/>
          <w:color w:val="000000" w:themeColor="text1"/>
          <w:sz w:val="36"/>
          <w:szCs w:val="36"/>
          <w14:textFill>
            <w14:solidFill>
              <w14:schemeClr w14:val="tx1"/>
            </w14:solidFill>
          </w14:textFill>
        </w:rPr>
        <w:t>#楼、</w:t>
      </w:r>
      <w:r>
        <w:rPr>
          <w:rFonts w:hint="default" w:ascii="黑体" w:hAnsi="黑体" w:eastAsia="黑体"/>
          <w:bCs/>
          <w:color w:val="000000" w:themeColor="text1"/>
          <w:sz w:val="36"/>
          <w:szCs w:val="36"/>
          <w:lang w:val="en-US"/>
          <w14:textFill>
            <w14:solidFill>
              <w14:schemeClr w14:val="tx1"/>
            </w14:solidFill>
          </w14:textFill>
        </w:rPr>
        <w:t>B</w:t>
      </w:r>
      <w:r>
        <w:rPr>
          <w:rFonts w:hint="eastAsia" w:ascii="黑体" w:hAnsi="黑体" w:eastAsia="黑体"/>
          <w:bCs/>
          <w:color w:val="000000" w:themeColor="text1"/>
          <w:sz w:val="36"/>
          <w:szCs w:val="36"/>
          <w14:textFill>
            <w14:solidFill>
              <w14:schemeClr w14:val="tx1"/>
            </w14:solidFill>
          </w14:textFill>
        </w:rPr>
        <w:t>地块</w:t>
      </w:r>
      <w:r>
        <w:rPr>
          <w:rFonts w:hint="default" w:ascii="黑体" w:hAnsi="黑体" w:eastAsia="黑体"/>
          <w:bCs/>
          <w:color w:val="000000" w:themeColor="text1"/>
          <w:sz w:val="36"/>
          <w:szCs w:val="36"/>
          <w:lang w:val="en-US"/>
          <w14:textFill>
            <w14:solidFill>
              <w14:schemeClr w14:val="tx1"/>
            </w14:solidFill>
          </w14:textFill>
        </w:rPr>
        <w:t>2</w:t>
      </w:r>
      <w:r>
        <w:rPr>
          <w:rFonts w:hint="eastAsia" w:ascii="黑体" w:hAnsi="黑体" w:eastAsia="黑体"/>
          <w:bCs/>
          <w:color w:val="000000" w:themeColor="text1"/>
          <w:sz w:val="36"/>
          <w:szCs w:val="36"/>
          <w14:textFill>
            <w14:solidFill>
              <w14:schemeClr w14:val="tx1"/>
            </w14:solidFill>
          </w14:textFill>
        </w:rPr>
        <w:t>#楼、</w:t>
      </w:r>
      <w:r>
        <w:rPr>
          <w:rFonts w:hint="default" w:ascii="黑体" w:hAnsi="黑体" w:eastAsia="黑体"/>
          <w:bCs/>
          <w:color w:val="000000" w:themeColor="text1"/>
          <w:sz w:val="36"/>
          <w:szCs w:val="36"/>
          <w:lang w:val="en-US"/>
          <w14:textFill>
            <w14:solidFill>
              <w14:schemeClr w14:val="tx1"/>
            </w14:solidFill>
          </w14:textFill>
        </w:rPr>
        <w:t>B</w:t>
      </w:r>
      <w:r>
        <w:rPr>
          <w:rFonts w:hint="eastAsia" w:ascii="黑体" w:hAnsi="黑体" w:eastAsia="黑体"/>
          <w:bCs/>
          <w:color w:val="000000" w:themeColor="text1"/>
          <w:sz w:val="36"/>
          <w:szCs w:val="36"/>
          <w14:textFill>
            <w14:solidFill>
              <w14:schemeClr w14:val="tx1"/>
            </w14:solidFill>
          </w14:textFill>
        </w:rPr>
        <w:t>地块</w:t>
      </w:r>
      <w:r>
        <w:rPr>
          <w:rFonts w:hint="default" w:ascii="黑体" w:hAnsi="黑体" w:eastAsia="黑体"/>
          <w:bCs/>
          <w:color w:val="000000" w:themeColor="text1"/>
          <w:sz w:val="36"/>
          <w:szCs w:val="36"/>
          <w:lang w:val="en-US"/>
          <w14:textFill>
            <w14:solidFill>
              <w14:schemeClr w14:val="tx1"/>
            </w14:solidFill>
          </w14:textFill>
        </w:rPr>
        <w:t>7</w:t>
      </w:r>
      <w:r>
        <w:rPr>
          <w:rFonts w:hint="eastAsia" w:ascii="黑体" w:hAnsi="黑体" w:eastAsia="黑体"/>
          <w:bCs/>
          <w:color w:val="000000" w:themeColor="text1"/>
          <w:sz w:val="36"/>
          <w:szCs w:val="36"/>
          <w14:textFill>
            <w14:solidFill>
              <w14:schemeClr w14:val="tx1"/>
            </w14:solidFill>
          </w14:textFill>
        </w:rPr>
        <w:t>#楼、</w:t>
      </w:r>
      <w:r>
        <w:rPr>
          <w:rFonts w:hint="default" w:ascii="黑体" w:hAnsi="黑体" w:eastAsia="黑体"/>
          <w:bCs/>
          <w:color w:val="000000" w:themeColor="text1"/>
          <w:sz w:val="36"/>
          <w:szCs w:val="36"/>
          <w:lang w:val="en-US"/>
          <w14:textFill>
            <w14:solidFill>
              <w14:schemeClr w14:val="tx1"/>
            </w14:solidFill>
          </w14:textFill>
        </w:rPr>
        <w:t>B</w:t>
      </w:r>
      <w:r>
        <w:rPr>
          <w:rFonts w:hint="eastAsia" w:ascii="黑体" w:hAnsi="黑体" w:eastAsia="黑体"/>
          <w:bCs/>
          <w:color w:val="000000" w:themeColor="text1"/>
          <w:sz w:val="36"/>
          <w:szCs w:val="36"/>
          <w14:textFill>
            <w14:solidFill>
              <w14:schemeClr w14:val="tx1"/>
            </w14:solidFill>
          </w14:textFill>
        </w:rPr>
        <w:t>地块</w:t>
      </w:r>
      <w:r>
        <w:rPr>
          <w:rFonts w:hint="default" w:ascii="黑体" w:hAnsi="黑体" w:eastAsia="黑体"/>
          <w:bCs/>
          <w:color w:val="000000" w:themeColor="text1"/>
          <w:sz w:val="36"/>
          <w:szCs w:val="36"/>
          <w:lang w:val="en-US"/>
          <w14:textFill>
            <w14:solidFill>
              <w14:schemeClr w14:val="tx1"/>
            </w14:solidFill>
          </w14:textFill>
        </w:rPr>
        <w:t>8</w:t>
      </w:r>
      <w:r>
        <w:rPr>
          <w:rFonts w:hint="eastAsia" w:ascii="黑体" w:hAnsi="黑体" w:eastAsia="黑体"/>
          <w:bCs/>
          <w:color w:val="000000" w:themeColor="text1"/>
          <w:sz w:val="36"/>
          <w:szCs w:val="36"/>
          <w14:textFill>
            <w14:solidFill>
              <w14:schemeClr w14:val="tx1"/>
            </w14:solidFill>
          </w14:textFill>
        </w:rPr>
        <w:t>#楼、</w:t>
      </w:r>
      <w:r>
        <w:rPr>
          <w:rFonts w:hint="default" w:ascii="黑体" w:hAnsi="黑体" w:eastAsia="黑体"/>
          <w:bCs/>
          <w:color w:val="000000" w:themeColor="text1"/>
          <w:sz w:val="36"/>
          <w:szCs w:val="36"/>
          <w:lang w:val="en-US"/>
          <w14:textFill>
            <w14:solidFill>
              <w14:schemeClr w14:val="tx1"/>
            </w14:solidFill>
          </w14:textFill>
        </w:rPr>
        <w:t>B</w:t>
      </w:r>
      <w:r>
        <w:rPr>
          <w:rFonts w:hint="eastAsia" w:ascii="黑体" w:hAnsi="黑体" w:eastAsia="黑体"/>
          <w:bCs/>
          <w:color w:val="000000" w:themeColor="text1"/>
          <w:sz w:val="36"/>
          <w:szCs w:val="36"/>
          <w14:textFill>
            <w14:solidFill>
              <w14:schemeClr w14:val="tx1"/>
            </w14:solidFill>
          </w14:textFill>
        </w:rPr>
        <w:t>地块</w:t>
      </w:r>
      <w:r>
        <w:rPr>
          <w:rFonts w:hint="default" w:ascii="黑体" w:hAnsi="黑体" w:eastAsia="黑体"/>
          <w:bCs/>
          <w:color w:val="000000" w:themeColor="text1"/>
          <w:sz w:val="36"/>
          <w:szCs w:val="36"/>
          <w:lang w:val="en-US"/>
          <w14:textFill>
            <w14:solidFill>
              <w14:schemeClr w14:val="tx1"/>
            </w14:solidFill>
          </w14:textFill>
        </w:rPr>
        <w:t>10</w:t>
      </w:r>
      <w:r>
        <w:rPr>
          <w:rFonts w:hint="eastAsia" w:ascii="黑体" w:hAnsi="黑体" w:eastAsia="黑体"/>
          <w:bCs/>
          <w:color w:val="000000" w:themeColor="text1"/>
          <w:sz w:val="36"/>
          <w:szCs w:val="36"/>
          <w14:textFill>
            <w14:solidFill>
              <w14:schemeClr w14:val="tx1"/>
            </w14:solidFill>
          </w14:textFill>
        </w:rPr>
        <w:t>#楼工业化建筑设计阶段认定专家论证意见</w:t>
      </w:r>
    </w:p>
    <w:p>
      <w:pPr>
        <w:snapToGrid w:val="0"/>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w:t>
      </w:r>
      <w:r>
        <w:rPr>
          <w:rFonts w:ascii="仿宋_GB2312" w:hAnsi="宋体"/>
          <w:bCs/>
          <w:color w:val="000000" w:themeColor="text1"/>
          <w:sz w:val="28"/>
          <w:szCs w:val="28"/>
          <w14:textFill>
            <w14:solidFill>
              <w14:schemeClr w14:val="tx1"/>
            </w14:solidFill>
          </w14:textFill>
        </w:rPr>
        <w:t>02</w:t>
      </w:r>
      <w:r>
        <w:rPr>
          <w:rFonts w:hint="eastAsia" w:ascii="仿宋_GB2312" w:hAnsi="宋体"/>
          <w:bCs/>
          <w:color w:val="000000" w:themeColor="text1"/>
          <w:sz w:val="28"/>
          <w:szCs w:val="28"/>
          <w:lang w:val="en-US" w:eastAsia="zh-CN"/>
          <w14:textFill>
            <w14:solidFill>
              <w14:schemeClr w14:val="tx1"/>
            </w14:solidFill>
          </w14:textFill>
        </w:rPr>
        <w:t>1</w:t>
      </w:r>
      <w:r>
        <w:rPr>
          <w:rFonts w:hint="eastAsia" w:ascii="仿宋_GB2312" w:hAnsi="宋体"/>
          <w:bCs/>
          <w:color w:val="000000" w:themeColor="text1"/>
          <w:sz w:val="28"/>
          <w:szCs w:val="28"/>
          <w14:textFill>
            <w14:solidFill>
              <w14:schemeClr w14:val="tx1"/>
            </w14:solidFill>
          </w14:textFill>
        </w:rPr>
        <w:t>年</w:t>
      </w:r>
      <w:r>
        <w:rPr>
          <w:rFonts w:hint="eastAsia" w:ascii="仿宋_GB2312" w:hAnsi="宋体"/>
          <w:bCs/>
          <w:color w:val="000000" w:themeColor="text1"/>
          <w:sz w:val="28"/>
          <w:szCs w:val="28"/>
          <w:lang w:val="en-US" w:eastAsia="zh-CN"/>
          <w14:textFill>
            <w14:solidFill>
              <w14:schemeClr w14:val="tx1"/>
            </w14:solidFill>
          </w14:textFill>
        </w:rPr>
        <w:t>04</w:t>
      </w:r>
      <w:r>
        <w:rPr>
          <w:rFonts w:hint="eastAsia" w:ascii="仿宋_GB2312" w:hAnsi="宋体"/>
          <w:bCs/>
          <w:color w:val="000000" w:themeColor="text1"/>
          <w:sz w:val="28"/>
          <w:szCs w:val="28"/>
          <w14:textFill>
            <w14:solidFill>
              <w14:schemeClr w14:val="tx1"/>
            </w14:solidFill>
          </w14:textFill>
        </w:rPr>
        <w:t>月</w:t>
      </w:r>
      <w:r>
        <w:rPr>
          <w:rFonts w:hint="eastAsia" w:ascii="仿宋_GB2312" w:hAnsi="宋体"/>
          <w:bCs/>
          <w:color w:val="000000" w:themeColor="text1"/>
          <w:sz w:val="28"/>
          <w:szCs w:val="28"/>
          <w:lang w:val="en-US" w:eastAsia="zh-CN"/>
          <w14:textFill>
            <w14:solidFill>
              <w14:schemeClr w14:val="tx1"/>
            </w14:solidFill>
          </w14:textFill>
        </w:rPr>
        <w:t>02</w:t>
      </w:r>
      <w:r>
        <w:rPr>
          <w:rFonts w:hint="eastAsia" w:ascii="仿宋_GB2312" w:hAnsi="宋体"/>
          <w:bCs/>
          <w:color w:val="000000" w:themeColor="text1"/>
          <w:sz w:val="28"/>
          <w:szCs w:val="28"/>
          <w14:textFill>
            <w14:solidFill>
              <w14:schemeClr w14:val="tx1"/>
            </w14:solidFill>
          </w14:textFill>
        </w:rPr>
        <w:t>日，福州</w:t>
      </w:r>
      <w:r>
        <w:rPr>
          <w:rFonts w:hint="eastAsia" w:ascii="仿宋_GB2312" w:hAnsi="宋体"/>
          <w:bCs/>
          <w:color w:val="000000" w:themeColor="text1"/>
          <w:sz w:val="28"/>
          <w:szCs w:val="28"/>
          <w:lang w:val="en-US" w:eastAsia="zh-CN"/>
          <w14:textFill>
            <w14:solidFill>
              <w14:schemeClr w14:val="tx1"/>
            </w14:solidFill>
          </w14:textFill>
        </w:rPr>
        <w:t>祯</w:t>
      </w:r>
      <w:r>
        <w:rPr>
          <w:rFonts w:hint="eastAsia" w:ascii="仿宋_GB2312" w:hAnsi="宋体"/>
          <w:bCs/>
          <w:color w:val="000000" w:themeColor="text1"/>
          <w:sz w:val="28"/>
          <w:szCs w:val="28"/>
          <w14:textFill>
            <w14:solidFill>
              <w14:schemeClr w14:val="tx1"/>
            </w14:solidFill>
          </w14:textFill>
        </w:rPr>
        <w:t>瑞置业有限公司在福州市组织召开“</w:t>
      </w:r>
      <w:r>
        <w:rPr>
          <w:rFonts w:hint="eastAsia" w:ascii="仿宋_GB2312" w:hAnsi="宋体"/>
          <w:bCs/>
          <w:color w:val="000000" w:themeColor="text1"/>
          <w:sz w:val="28"/>
          <w:szCs w:val="28"/>
          <w:lang w:eastAsia="zh-CN"/>
          <w14:textFill>
            <w14:solidFill>
              <w14:schemeClr w14:val="tx1"/>
            </w14:solidFill>
          </w14:textFill>
        </w:rPr>
        <w:t>留香郡</w:t>
      </w:r>
      <w:r>
        <w:rPr>
          <w:rFonts w:hint="eastAsia" w:ascii="仿宋_GB2312" w:hAnsi="宋体"/>
          <w:bCs/>
          <w:color w:val="000000" w:themeColor="text1"/>
          <w:sz w:val="28"/>
          <w:szCs w:val="28"/>
          <w14:textFill>
            <w14:solidFill>
              <w14:schemeClr w14:val="tx1"/>
            </w14:solidFill>
          </w14:textFill>
        </w:rPr>
        <w:t>”项目A地块1#楼、A地块</w:t>
      </w:r>
      <w:r>
        <w:rPr>
          <w:rFonts w:hint="default" w:ascii="仿宋_GB2312" w:hAnsi="宋体"/>
          <w:bCs/>
          <w:color w:val="000000" w:themeColor="text1"/>
          <w:sz w:val="28"/>
          <w:szCs w:val="28"/>
          <w:lang w:val="en-US"/>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S2</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8</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10</w:t>
      </w:r>
      <w:r>
        <w:rPr>
          <w:rFonts w:hint="eastAsia" w:ascii="仿宋_GB2312" w:hAnsi="宋体"/>
          <w:bCs/>
          <w:color w:val="000000" w:themeColor="text1"/>
          <w:sz w:val="28"/>
          <w:szCs w:val="28"/>
          <w14:textFill>
            <w14:solidFill>
              <w14:schemeClr w14:val="tx1"/>
            </w14:solidFill>
          </w14:textFill>
        </w:rPr>
        <w:t>#楼工业化建筑设计阶段认定专家论证会，会议由福州</w:t>
      </w:r>
      <w:r>
        <w:rPr>
          <w:rFonts w:hint="eastAsia" w:ascii="仿宋_GB2312" w:hAnsi="宋体"/>
          <w:bCs/>
          <w:color w:val="000000" w:themeColor="text1"/>
          <w:sz w:val="28"/>
          <w:szCs w:val="28"/>
          <w:lang w:val="en-US" w:eastAsia="zh-CN"/>
          <w14:textFill>
            <w14:solidFill>
              <w14:schemeClr w14:val="tx1"/>
            </w14:solidFill>
          </w14:textFill>
        </w:rPr>
        <w:t>祯</w:t>
      </w:r>
      <w:r>
        <w:rPr>
          <w:rFonts w:hint="eastAsia" w:ascii="仿宋_GB2312" w:hAnsi="宋体"/>
          <w:bCs/>
          <w:color w:val="000000" w:themeColor="text1"/>
          <w:sz w:val="28"/>
          <w:szCs w:val="28"/>
          <w14:textFill>
            <w14:solidFill>
              <w14:schemeClr w14:val="tx1"/>
            </w14:solidFill>
          </w14:textFill>
        </w:rPr>
        <w:t>瑞置业有限公司主持，设计单位、施工图审查单位、评审专家参加了会议。</w:t>
      </w:r>
    </w:p>
    <w:p>
      <w:pPr>
        <w:snapToGrid w:val="0"/>
        <w:spacing w:line="490" w:lineRule="exact"/>
        <w:ind w:firstLine="560" w:firstLineChars="200"/>
        <w:rPr>
          <w:rFonts w:ascii="仿宋_GB2312"/>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工程基本简况如下：</w:t>
      </w:r>
      <w:r>
        <w:rPr>
          <w:rFonts w:hint="eastAsia" w:ascii="仿宋_GB2312" w:hAnsi="宋体"/>
          <w:bCs/>
          <w:color w:val="000000" w:themeColor="text1"/>
          <w:sz w:val="28"/>
          <w:szCs w:val="28"/>
          <w:lang w:val="en-US" w:eastAsia="zh-CN"/>
          <w14:textFill>
            <w14:solidFill>
              <w14:schemeClr w14:val="tx1"/>
            </w14:solidFill>
          </w14:textFill>
        </w:rPr>
        <w:t>该</w:t>
      </w:r>
      <w:bookmarkStart w:id="1" w:name="_GoBack"/>
      <w:bookmarkEnd w:id="1"/>
      <w:r>
        <w:rPr>
          <w:rFonts w:hint="eastAsia" w:ascii="仿宋_GB2312" w:hAnsi="宋体"/>
          <w:bCs/>
          <w:color w:val="000000" w:themeColor="text1"/>
          <w:sz w:val="28"/>
          <w:szCs w:val="28"/>
          <w14:textFill>
            <w14:solidFill>
              <w14:schemeClr w14:val="tx1"/>
            </w14:solidFill>
          </w14:textFill>
        </w:rPr>
        <w:t>项目位于福州市</w:t>
      </w:r>
      <w:r>
        <w:rPr>
          <w:rFonts w:hint="eastAsia" w:asciiTheme="minorHAnsi" w:hAnsiTheme="minorHAnsi"/>
          <w:bCs/>
          <w:color w:val="000000" w:themeColor="text1"/>
          <w:sz w:val="28"/>
          <w:szCs w:val="28"/>
          <w:lang w:eastAsia="zh-CN"/>
          <w14:textFill>
            <w14:solidFill>
              <w14:schemeClr w14:val="tx1"/>
            </w14:solidFill>
          </w14:textFill>
        </w:rPr>
        <w:t>晋安</w:t>
      </w:r>
      <w:r>
        <w:rPr>
          <w:rFonts w:hint="eastAsia" w:ascii="仿宋_GB2312" w:hAnsi="宋体"/>
          <w:bCs/>
          <w:color w:val="000000" w:themeColor="text1"/>
          <w:sz w:val="28"/>
          <w:szCs w:val="28"/>
          <w14:textFill>
            <w14:solidFill>
              <w14:schemeClr w14:val="tx1"/>
            </w14:solidFill>
          </w14:textFill>
        </w:rPr>
        <w:t>区。拟建16栋高层住宅、7栋多层公建和地下室，总建筑面积为166966.95平方米，计入容积率的建筑面积为126836.19平方米，地上建筑面积128967.27平方米。其中A地块1#楼、A地块</w:t>
      </w:r>
      <w:r>
        <w:rPr>
          <w:rFonts w:hint="default" w:ascii="仿宋_GB2312" w:hAnsi="宋体"/>
          <w:bCs/>
          <w:color w:val="000000" w:themeColor="text1"/>
          <w:sz w:val="28"/>
          <w:szCs w:val="28"/>
          <w:lang w:val="en-US"/>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S2</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8</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10</w:t>
      </w:r>
      <w:r>
        <w:rPr>
          <w:rFonts w:hint="eastAsia" w:ascii="仿宋_GB2312" w:hAnsi="宋体"/>
          <w:bCs/>
          <w:color w:val="000000" w:themeColor="text1"/>
          <w:sz w:val="28"/>
          <w:szCs w:val="28"/>
          <w14:textFill>
            <w14:solidFill>
              <w14:schemeClr w14:val="tx1"/>
            </w14:solidFill>
          </w14:textFill>
        </w:rPr>
        <w:t>#楼采用预制装配式混凝土结构，装配式楼栋的计容建筑面积为63826.23</w:t>
      </w:r>
      <w:r>
        <w:rPr>
          <w:rFonts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14:textFill>
            <w14:solidFill>
              <w14:schemeClr w14:val="tx1"/>
            </w14:solidFill>
          </w14:textFill>
        </w:rPr>
        <w:t>126836.19</w:t>
      </w:r>
      <w:r>
        <w:rPr>
          <w:rFonts w:ascii="仿宋_GB2312" w:hAnsi="宋体"/>
          <w:bCs/>
          <w:color w:val="000000" w:themeColor="text1"/>
          <w:sz w:val="28"/>
          <w:szCs w:val="28"/>
          <w14:textFill>
            <w14:solidFill>
              <w14:schemeClr w14:val="tx1"/>
            </w14:solidFill>
          </w14:textFill>
        </w:rPr>
        <w:t>=5</w:t>
      </w:r>
      <w:r>
        <w:rPr>
          <w:rFonts w:hint="eastAsia" w:ascii="仿宋_GB2312" w:hAnsi="宋体"/>
          <w:bCs/>
          <w:color w:val="000000" w:themeColor="text1"/>
          <w:sz w:val="28"/>
          <w:szCs w:val="28"/>
          <w:lang w:val="en-US" w:eastAsia="zh-CN"/>
          <w14:textFill>
            <w14:solidFill>
              <w14:schemeClr w14:val="tx1"/>
            </w14:solidFill>
          </w14:textFill>
        </w:rPr>
        <w:t>0.32</w:t>
      </w:r>
      <w:r>
        <w:rPr>
          <w:rFonts w:ascii="仿宋_GB2312" w:hAnsi="宋体"/>
          <w:bCs/>
          <w:color w:val="000000" w:themeColor="text1"/>
          <w:sz w:val="28"/>
          <w:szCs w:val="28"/>
          <w14:textFill>
            <w14:solidFill>
              <w14:schemeClr w14:val="tx1"/>
            </w14:solidFill>
          </w14:textFill>
        </w:rPr>
        <w:t>%&gt;50%</w:t>
      </w:r>
      <w:r>
        <w:rPr>
          <w:rFonts w:hint="eastAsia" w:ascii="仿宋_GB2312" w:hAnsi="宋体"/>
          <w:bCs/>
          <w:color w:val="000000" w:themeColor="text1"/>
          <w:sz w:val="28"/>
          <w:szCs w:val="28"/>
          <w14:textFill>
            <w14:solidFill>
              <w14:schemeClr w14:val="tx1"/>
            </w14:solidFill>
          </w14:textFill>
        </w:rPr>
        <w:t>，满足福州市人民政府文件榕政综〔2017〕1164号的相关规定要求。</w:t>
      </w:r>
    </w:p>
    <w:p>
      <w:pPr>
        <w:spacing w:line="490" w:lineRule="exact"/>
        <w:ind w:firstLine="560" w:firstLineChars="200"/>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val="en-US" w:eastAsia="zh-CN"/>
          <w14:textFill>
            <w14:solidFill>
              <w14:schemeClr w14:val="tx1"/>
            </w14:solidFill>
          </w14:textFill>
        </w:rPr>
        <w:t>A地块</w:t>
      </w:r>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5339" w:type="pct"/>
        <w:jc w:val="center"/>
        <w:tblLayout w:type="fixed"/>
        <w:tblCellMar>
          <w:top w:w="0" w:type="dxa"/>
          <w:left w:w="0" w:type="dxa"/>
          <w:bottom w:w="0" w:type="dxa"/>
          <w:right w:w="0" w:type="dxa"/>
        </w:tblCellMar>
      </w:tblPr>
      <w:tblGrid>
        <w:gridCol w:w="1752"/>
        <w:gridCol w:w="2194"/>
        <w:gridCol w:w="964"/>
        <w:gridCol w:w="823"/>
        <w:gridCol w:w="775"/>
        <w:gridCol w:w="784"/>
        <w:gridCol w:w="819"/>
        <w:gridCol w:w="780"/>
      </w:tblGrid>
      <w:tr>
        <w:tblPrEx>
          <w:tblCellMar>
            <w:top w:w="0" w:type="dxa"/>
            <w:left w:w="0" w:type="dxa"/>
            <w:bottom w:w="0" w:type="dxa"/>
            <w:right w:w="0" w:type="dxa"/>
          </w:tblCellMar>
        </w:tblPrEx>
        <w:trPr>
          <w:trHeight w:val="340" w:hRule="atLeast"/>
          <w:jc w:val="center"/>
        </w:trPr>
        <w:tc>
          <w:tcPr>
            <w:tcW w:w="985"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szCs w:val="24"/>
                <w:lang w:val="en-US" w:eastAsia="zh-CN"/>
                <w14:textFill>
                  <w14:solidFill>
                    <w14:schemeClr w14:val="tx1"/>
                  </w14:solidFill>
                </w14:textFill>
              </w:rPr>
              <w:t>A地块1#楼</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A地块</w:t>
            </w:r>
          </w:p>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2#楼</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A地块S2#楼</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A地块</w:t>
            </w:r>
          </w:p>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3#楼</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A地块</w:t>
            </w:r>
          </w:p>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5#楼</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A地块</w:t>
            </w:r>
          </w:p>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7#楼</w:t>
            </w:r>
          </w:p>
        </w:tc>
      </w:tr>
      <w:tr>
        <w:tblPrEx>
          <w:tblCellMar>
            <w:top w:w="0" w:type="dxa"/>
            <w:left w:w="0" w:type="dxa"/>
            <w:bottom w:w="0" w:type="dxa"/>
            <w:right w:w="0" w:type="dxa"/>
          </w:tblCellMar>
        </w:tblPrEx>
        <w:trPr>
          <w:cantSplit/>
          <w:trHeight w:val="340" w:hRule="atLeast"/>
          <w:jc w:val="center"/>
        </w:trPr>
        <w:tc>
          <w:tcPr>
            <w:tcW w:w="985" w:type="pct"/>
            <w:vMerge w:val="restart"/>
            <w:tcBorders>
              <w:top w:val="single" w:color="000000" w:sz="8"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主体结构</w:t>
            </w: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装配式模板</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w:t>
            </w:r>
          </w:p>
        </w:tc>
      </w:tr>
      <w:tr>
        <w:tblPrEx>
          <w:tblCellMar>
            <w:top w:w="0" w:type="dxa"/>
            <w:left w:w="0" w:type="dxa"/>
            <w:bottom w:w="0" w:type="dxa"/>
            <w:right w:w="0" w:type="dxa"/>
          </w:tblCellMar>
        </w:tblPrEx>
        <w:trPr>
          <w:cantSplit/>
          <w:trHeight w:val="340" w:hRule="atLeast"/>
          <w:jc w:val="center"/>
        </w:trPr>
        <w:tc>
          <w:tcPr>
            <w:tcW w:w="98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预制叠合板、预制楼梯</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26.2</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25.8</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32.7</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27.2</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25.9</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27.1</w:t>
            </w:r>
          </w:p>
        </w:tc>
      </w:tr>
      <w:tr>
        <w:tblPrEx>
          <w:tblCellMar>
            <w:top w:w="0" w:type="dxa"/>
            <w:left w:w="0" w:type="dxa"/>
            <w:bottom w:w="0" w:type="dxa"/>
            <w:right w:w="0" w:type="dxa"/>
          </w:tblCellMar>
        </w:tblPrEx>
        <w:trPr>
          <w:trHeight w:val="340" w:hRule="atLeast"/>
          <w:jc w:val="center"/>
        </w:trPr>
        <w:tc>
          <w:tcPr>
            <w:tcW w:w="98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-2</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0</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985"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部品部件通用化</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3.5</w:t>
            </w:r>
          </w:p>
        </w:tc>
      </w:tr>
      <w:tr>
        <w:tblPrEx>
          <w:tblCellMar>
            <w:top w:w="0" w:type="dxa"/>
            <w:left w:w="0" w:type="dxa"/>
            <w:bottom w:w="0" w:type="dxa"/>
            <w:right w:w="0" w:type="dxa"/>
          </w:tblCellMar>
        </w:tblPrEx>
        <w:trPr>
          <w:trHeight w:val="340" w:hRule="atLeast"/>
          <w:jc w:val="center"/>
        </w:trPr>
        <w:tc>
          <w:tcPr>
            <w:tcW w:w="98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围护墙和内隔墙</w:t>
            </w: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10</w:t>
            </w:r>
          </w:p>
        </w:tc>
      </w:tr>
      <w:tr>
        <w:tblPrEx>
          <w:tblCellMar>
            <w:top w:w="0" w:type="dxa"/>
            <w:left w:w="0" w:type="dxa"/>
            <w:bottom w:w="0" w:type="dxa"/>
            <w:right w:w="0" w:type="dxa"/>
          </w:tblCellMar>
        </w:tblPrEx>
        <w:trPr>
          <w:trHeight w:val="340" w:hRule="atLeast"/>
          <w:jc w:val="center"/>
        </w:trPr>
        <w:tc>
          <w:tcPr>
            <w:tcW w:w="2219" w:type="pct"/>
            <w:gridSpan w:val="2"/>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装修和设备管线</w:t>
            </w:r>
          </w:p>
        </w:tc>
        <w:tc>
          <w:tcPr>
            <w:tcW w:w="542" w:type="pct"/>
            <w:tcBorders>
              <w:top w:val="single" w:color="auto" w:sz="4" w:space="0"/>
              <w:left w:val="single" w:color="auto" w:sz="4" w:space="0"/>
              <w:bottom w:val="single" w:color="auto" w:sz="4" w:space="0"/>
              <w:right w:val="single" w:color="auto" w:sz="4"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62"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35"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40"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60" w:type="pct"/>
            <w:tcBorders>
              <w:top w:val="single" w:color="auto" w:sz="4" w:space="0"/>
              <w:left w:val="single" w:color="auto" w:sz="4" w:space="0"/>
              <w:bottom w:val="single" w:color="auto" w:sz="4" w:space="0"/>
              <w:right w:val="single" w:color="auto" w:sz="4" w:space="0"/>
            </w:tcBorders>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38"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985" w:type="pct"/>
            <w:vMerge w:val="restart"/>
            <w:tcBorders>
              <w:top w:val="single" w:color="000000" w:sz="8"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98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98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可追溯系统</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2219"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51.2</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50.8</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50.7</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52.2</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50.9</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51.6</w:t>
            </w:r>
          </w:p>
        </w:tc>
      </w:tr>
      <w:tr>
        <w:tblPrEx>
          <w:tblCellMar>
            <w:top w:w="0" w:type="dxa"/>
            <w:left w:w="0" w:type="dxa"/>
            <w:bottom w:w="0" w:type="dxa"/>
            <w:right w:w="0" w:type="dxa"/>
          </w:tblCellMar>
        </w:tblPrEx>
        <w:trPr>
          <w:trHeight w:val="340" w:hRule="atLeast"/>
          <w:jc w:val="center"/>
        </w:trPr>
        <w:tc>
          <w:tcPr>
            <w:tcW w:w="2219"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54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6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3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4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52%</w:t>
            </w:r>
          </w:p>
        </w:tc>
        <w:tc>
          <w:tcPr>
            <w:tcW w:w="460"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438"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52%</w:t>
            </w:r>
          </w:p>
        </w:tc>
      </w:tr>
    </w:tbl>
    <w:p>
      <w:pPr>
        <w:spacing w:line="490" w:lineRule="exact"/>
        <w:ind w:firstLine="560" w:firstLineChars="200"/>
        <w:jc w:val="lef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val="en-US" w:eastAsia="zh-CN"/>
          <w14:textFill>
            <w14:solidFill>
              <w14:schemeClr w14:val="tx1"/>
            </w14:solidFill>
          </w14:textFill>
        </w:rPr>
        <w:t>B地块</w:t>
      </w:r>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5328" w:type="pct"/>
        <w:jc w:val="center"/>
        <w:tblLayout w:type="autofit"/>
        <w:tblCellMar>
          <w:top w:w="0" w:type="dxa"/>
          <w:left w:w="0" w:type="dxa"/>
          <w:bottom w:w="0" w:type="dxa"/>
          <w:right w:w="0" w:type="dxa"/>
        </w:tblCellMar>
      </w:tblPr>
      <w:tblGrid>
        <w:gridCol w:w="1743"/>
        <w:gridCol w:w="2181"/>
        <w:gridCol w:w="1237"/>
        <w:gridCol w:w="1237"/>
        <w:gridCol w:w="1237"/>
        <w:gridCol w:w="1237"/>
      </w:tblGrid>
      <w:tr>
        <w:tblPrEx>
          <w:tblCellMar>
            <w:top w:w="0" w:type="dxa"/>
            <w:left w:w="0" w:type="dxa"/>
            <w:bottom w:w="0" w:type="dxa"/>
            <w:right w:w="0" w:type="dxa"/>
          </w:tblCellMar>
        </w:tblPrEx>
        <w:trPr>
          <w:trHeight w:val="340" w:hRule="atLeast"/>
          <w:jc w:val="center"/>
        </w:trPr>
        <w:tc>
          <w:tcPr>
            <w:tcW w:w="982"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B地块</w:t>
            </w:r>
          </w:p>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2#楼</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B地块</w:t>
            </w:r>
          </w:p>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7#楼</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B地块</w:t>
            </w:r>
          </w:p>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8#楼</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B地块</w:t>
            </w:r>
          </w:p>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10#楼</w:t>
            </w:r>
          </w:p>
        </w:tc>
      </w:tr>
      <w:tr>
        <w:tblPrEx>
          <w:tblCellMar>
            <w:top w:w="0" w:type="dxa"/>
            <w:left w:w="0" w:type="dxa"/>
            <w:bottom w:w="0" w:type="dxa"/>
            <w:right w:w="0" w:type="dxa"/>
          </w:tblCellMar>
        </w:tblPrEx>
        <w:trPr>
          <w:cantSplit/>
          <w:trHeight w:val="340" w:hRule="atLeast"/>
          <w:jc w:val="center"/>
        </w:trPr>
        <w:tc>
          <w:tcPr>
            <w:tcW w:w="982" w:type="pct"/>
            <w:vMerge w:val="restart"/>
            <w:tcBorders>
              <w:top w:val="single" w:color="000000" w:sz="8"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主体结构</w:t>
            </w: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装配式模板</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r>
      <w:tr>
        <w:tblPrEx>
          <w:tblCellMar>
            <w:top w:w="0" w:type="dxa"/>
            <w:left w:w="0" w:type="dxa"/>
            <w:bottom w:w="0" w:type="dxa"/>
            <w:right w:w="0" w:type="dxa"/>
          </w:tblCellMar>
        </w:tblPrEx>
        <w:trPr>
          <w:cantSplit/>
          <w:trHeight w:val="340" w:hRule="atLeast"/>
          <w:jc w:val="center"/>
        </w:trPr>
        <w:tc>
          <w:tcPr>
            <w:tcW w:w="982"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预制叠合板、预制楼梯</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25.6</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25.3</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26.4</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25.7</w:t>
            </w:r>
          </w:p>
        </w:tc>
      </w:tr>
      <w:tr>
        <w:tblPrEx>
          <w:tblCellMar>
            <w:top w:w="0" w:type="dxa"/>
            <w:left w:w="0" w:type="dxa"/>
            <w:bottom w:w="0" w:type="dxa"/>
            <w:right w:w="0" w:type="dxa"/>
          </w:tblCellMar>
        </w:tblPrEx>
        <w:trPr>
          <w:trHeight w:val="340" w:hRule="atLeast"/>
          <w:jc w:val="center"/>
        </w:trPr>
        <w:tc>
          <w:tcPr>
            <w:tcW w:w="982"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-2</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-2</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982"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部品部件通用化</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3.5</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3.5</w:t>
            </w:r>
          </w:p>
        </w:tc>
      </w:tr>
      <w:tr>
        <w:tblPrEx>
          <w:tblCellMar>
            <w:top w:w="0" w:type="dxa"/>
            <w:left w:w="0" w:type="dxa"/>
            <w:bottom w:w="0" w:type="dxa"/>
            <w:right w:w="0" w:type="dxa"/>
          </w:tblCellMar>
        </w:tblPrEx>
        <w:trPr>
          <w:trHeight w:val="340" w:hRule="atLeast"/>
          <w:jc w:val="center"/>
        </w:trPr>
        <w:tc>
          <w:tcPr>
            <w:tcW w:w="982"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围护墙和内隔墙</w:t>
            </w: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r>
      <w:tr>
        <w:tblPrEx>
          <w:tblCellMar>
            <w:top w:w="0" w:type="dxa"/>
            <w:left w:w="0" w:type="dxa"/>
            <w:bottom w:w="0" w:type="dxa"/>
            <w:right w:w="0" w:type="dxa"/>
          </w:tblCellMar>
        </w:tblPrEx>
        <w:trPr>
          <w:trHeight w:val="340" w:hRule="atLeast"/>
          <w:jc w:val="center"/>
        </w:trPr>
        <w:tc>
          <w:tcPr>
            <w:tcW w:w="2211" w:type="pct"/>
            <w:gridSpan w:val="2"/>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装修和设备管线</w:t>
            </w:r>
          </w:p>
        </w:tc>
        <w:tc>
          <w:tcPr>
            <w:tcW w:w="697" w:type="pct"/>
            <w:tcBorders>
              <w:top w:val="single" w:color="auto" w:sz="4" w:space="0"/>
              <w:left w:val="single" w:color="auto" w:sz="4" w:space="0"/>
              <w:bottom w:val="single" w:color="auto" w:sz="4" w:space="0"/>
              <w:right w:val="single" w:color="auto" w:sz="4"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697"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697"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697"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982" w:type="pct"/>
            <w:vMerge w:val="restart"/>
            <w:tcBorders>
              <w:top w:val="single" w:color="000000" w:sz="8"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982"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982"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22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可追溯系统</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221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50.6</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50.3</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50.9</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50.2</w:t>
            </w:r>
          </w:p>
        </w:tc>
      </w:tr>
      <w:tr>
        <w:tblPrEx>
          <w:tblCellMar>
            <w:top w:w="0" w:type="dxa"/>
            <w:left w:w="0" w:type="dxa"/>
            <w:bottom w:w="0" w:type="dxa"/>
            <w:right w:w="0" w:type="dxa"/>
          </w:tblCellMar>
        </w:tblPrEx>
        <w:trPr>
          <w:trHeight w:val="340" w:hRule="atLeast"/>
          <w:jc w:val="center"/>
        </w:trPr>
        <w:tc>
          <w:tcPr>
            <w:tcW w:w="221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697"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51%</w:t>
            </w:r>
          </w:p>
        </w:tc>
        <w:tc>
          <w:tcPr>
            <w:tcW w:w="69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50%</w:t>
            </w:r>
          </w:p>
        </w:tc>
      </w:tr>
    </w:tbl>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_GB2312"/>
          <w:color w:val="000000" w:themeColor="text1"/>
          <w:sz w:val="24"/>
          <w:szCs w:val="22"/>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施工图设计文件已通过审图机构审查。审查机构：福州建功施工图审查有限公司，合格证编号:</w:t>
      </w:r>
      <w:r>
        <w:t xml:space="preserve"> </w:t>
      </w:r>
      <w:r>
        <w:rPr>
          <w:rFonts w:hint="eastAsia" w:ascii="仿宋_GB2312" w:hAnsi="宋体"/>
          <w:bCs/>
          <w:color w:val="FF0000"/>
          <w:sz w:val="28"/>
          <w:szCs w:val="28"/>
        </w:rPr>
        <w:t>3501112007160104-TX-002</w:t>
      </w:r>
      <w:r>
        <w:rPr>
          <w:rFonts w:hint="eastAsia" w:ascii="仿宋_GB2312" w:hAnsi="宋体"/>
          <w:bCs/>
          <w:color w:val="000000" w:themeColor="text1"/>
          <w:sz w:val="28"/>
          <w:szCs w:val="28"/>
          <w14:textFill>
            <w14:solidFill>
              <w14:schemeClr w14:val="tx1"/>
            </w14:solidFill>
          </w14:textFill>
        </w:rPr>
        <w:t>。</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与会专家及相关职能部门领导听取了福建博宇建筑设计有限公司及建设单位对</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的介绍，经会议研究讨论，形成以下意见：</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(1) </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预制面积不小于总建筑面积计容部分的50%，装配式楼栋的装配率不小于</w:t>
      </w:r>
      <w:r>
        <w:rPr>
          <w:rFonts w:ascii="仿宋_GB2312" w:hAnsi="宋体"/>
          <w:bCs/>
          <w:color w:val="000000" w:themeColor="text1"/>
          <w:sz w:val="28"/>
          <w:szCs w:val="28"/>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0%，满足福州市人民政府文件榕政综〔2017〕1164号的相关规定。</w:t>
      </w:r>
    </w:p>
    <w:p>
      <w:pPr>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(2) </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A地块1#楼、A地块</w:t>
      </w:r>
      <w:r>
        <w:rPr>
          <w:rFonts w:hint="default" w:ascii="仿宋_GB2312" w:hAnsi="宋体"/>
          <w:bCs/>
          <w:color w:val="000000" w:themeColor="text1"/>
          <w:sz w:val="28"/>
          <w:szCs w:val="28"/>
          <w:lang w:val="en-US"/>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S2</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8</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10</w:t>
      </w:r>
      <w:r>
        <w:rPr>
          <w:rFonts w:hint="eastAsia" w:ascii="仿宋_GB2312" w:hAnsi="宋体"/>
          <w:bCs/>
          <w:color w:val="000000" w:themeColor="text1"/>
          <w:sz w:val="28"/>
          <w:szCs w:val="28"/>
          <w14:textFill>
            <w14:solidFill>
              <w14:schemeClr w14:val="tx1"/>
            </w14:solidFill>
          </w14:textFill>
        </w:rPr>
        <w:t>#楼装配式建筑设计相关资料完整，其主体结构、围护墙和内隔墙、技术创新部分的分值均不低于最低分值要求，各单体建筑装配率均不低于</w:t>
      </w:r>
      <w:r>
        <w:rPr>
          <w:rFonts w:ascii="仿宋_GB2312" w:hAnsi="宋体"/>
          <w:bCs/>
          <w:color w:val="000000" w:themeColor="text1"/>
          <w:sz w:val="28"/>
          <w:szCs w:val="28"/>
          <w14:textFill>
            <w14:solidFill>
              <w14:schemeClr w14:val="tx1"/>
            </w14:solidFill>
          </w14:textFill>
        </w:rPr>
        <w:t>50</w:t>
      </w:r>
      <w:r>
        <w:rPr>
          <w:rFonts w:hint="eastAsia" w:ascii="仿宋_GB2312" w:hAnsi="宋体"/>
          <w:bCs/>
          <w:color w:val="000000" w:themeColor="text1"/>
          <w:sz w:val="28"/>
          <w:szCs w:val="28"/>
          <w14:textFill>
            <w14:solidFill>
              <w14:schemeClr w14:val="tx1"/>
            </w14:solidFill>
          </w14:textFill>
        </w:rPr>
        <w:t>%，符合《福建省装配式建筑评价管理办法（试行）》（闽建[2</w:t>
      </w:r>
      <w:r>
        <w:rPr>
          <w:rFonts w:ascii="仿宋_GB2312" w:hAnsi="宋体"/>
          <w:bCs/>
          <w:color w:val="000000" w:themeColor="text1"/>
          <w:sz w:val="28"/>
          <w:szCs w:val="28"/>
          <w14:textFill>
            <w14:solidFill>
              <w14:schemeClr w14:val="tx1"/>
            </w14:solidFill>
          </w14:textFill>
        </w:rPr>
        <w:t>020]4</w:t>
      </w:r>
      <w:r>
        <w:rPr>
          <w:rFonts w:hint="eastAsia" w:ascii="仿宋_GB2312" w:hAnsi="宋体"/>
          <w:bCs/>
          <w:color w:val="000000" w:themeColor="text1"/>
          <w:sz w:val="28"/>
          <w:szCs w:val="28"/>
          <w14:textFill>
            <w14:solidFill>
              <w14:schemeClr w14:val="tx1"/>
            </w14:solidFill>
          </w14:textFill>
        </w:rPr>
        <w:t>号）的相关规定，同意</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A地块1#楼、A地块</w:t>
      </w:r>
      <w:r>
        <w:rPr>
          <w:rFonts w:hint="default" w:ascii="仿宋_GB2312" w:hAnsi="宋体"/>
          <w:bCs/>
          <w:color w:val="000000" w:themeColor="text1"/>
          <w:sz w:val="28"/>
          <w:szCs w:val="28"/>
          <w:lang w:val="en-US"/>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S2</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#楼、A地块</w:t>
      </w:r>
      <w:r>
        <w:rPr>
          <w:rFonts w:hint="default" w:ascii="仿宋_GB2312" w:hAnsi="宋体"/>
          <w:bCs/>
          <w:color w:val="000000" w:themeColor="text1"/>
          <w:sz w:val="28"/>
          <w:szCs w:val="28"/>
          <w:lang w:val="en-US"/>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8</w:t>
      </w:r>
      <w:r>
        <w:rPr>
          <w:rFonts w:hint="eastAsia" w:ascii="仿宋_GB2312" w:hAnsi="宋体"/>
          <w:bCs/>
          <w:color w:val="000000" w:themeColor="text1"/>
          <w:sz w:val="28"/>
          <w:szCs w:val="28"/>
          <w14:textFill>
            <w14:solidFill>
              <w14:schemeClr w14:val="tx1"/>
            </w14:solidFill>
          </w14:textFill>
        </w:rPr>
        <w:t>#楼、</w:t>
      </w:r>
      <w:r>
        <w:rPr>
          <w:rFonts w:hint="default" w:ascii="仿宋_GB2312" w:hAnsi="宋体"/>
          <w:bCs/>
          <w:color w:val="000000" w:themeColor="text1"/>
          <w:sz w:val="28"/>
          <w:szCs w:val="28"/>
          <w:lang w:val="en-US"/>
          <w14:textFill>
            <w14:solidFill>
              <w14:schemeClr w14:val="tx1"/>
            </w14:solidFill>
          </w14:textFill>
        </w:rPr>
        <w:t>B</w:t>
      </w:r>
      <w:r>
        <w:rPr>
          <w:rFonts w:hint="eastAsia" w:ascii="仿宋_GB2312" w:hAnsi="宋体"/>
          <w:bCs/>
          <w:color w:val="000000" w:themeColor="text1"/>
          <w:sz w:val="28"/>
          <w:szCs w:val="28"/>
          <w14:textFill>
            <w14:solidFill>
              <w14:schemeClr w14:val="tx1"/>
            </w14:solidFill>
          </w14:textFill>
        </w:rPr>
        <w:t>地块</w:t>
      </w:r>
      <w:r>
        <w:rPr>
          <w:rFonts w:hint="default" w:ascii="仿宋_GB2312" w:hAnsi="宋体"/>
          <w:bCs/>
          <w:color w:val="000000" w:themeColor="text1"/>
          <w:sz w:val="28"/>
          <w:szCs w:val="28"/>
          <w:lang w:val="en-US"/>
          <w14:textFill>
            <w14:solidFill>
              <w14:schemeClr w14:val="tx1"/>
            </w14:solidFill>
          </w14:textFill>
        </w:rPr>
        <w:t>10</w:t>
      </w:r>
      <w:r>
        <w:rPr>
          <w:rFonts w:hint="eastAsia" w:ascii="仿宋_GB2312" w:hAnsi="宋体"/>
          <w:bCs/>
          <w:color w:val="000000" w:themeColor="text1"/>
          <w:sz w:val="28"/>
          <w:szCs w:val="28"/>
          <w14:textFill>
            <w14:solidFill>
              <w14:schemeClr w14:val="tx1"/>
            </w14:solidFill>
          </w14:textFill>
        </w:rPr>
        <w:t>#楼设计阶段评价为装配式建筑。</w:t>
      </w:r>
    </w:p>
    <w:p>
      <w:pPr>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p>
    <w:p>
      <w:pPr>
        <w:spacing w:line="500" w:lineRule="exact"/>
        <w:rPr>
          <w:rFonts w:hint="eastAsia"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专家名单：</w:t>
      </w:r>
      <w:r>
        <w:rPr>
          <w:rFonts w:hint="eastAsia" w:ascii="仿宋_GB2312" w:hAnsi="宋体"/>
          <w:bCs/>
          <w:color w:val="000000" w:themeColor="text1"/>
          <w:sz w:val="32"/>
          <w:szCs w:val="32"/>
          <w14:textFill>
            <w14:solidFill>
              <w14:schemeClr w14:val="tx1"/>
            </w14:solidFill>
          </w14:textFill>
        </w:rPr>
        <w:t xml:space="preserve">  </w:t>
      </w:r>
    </w:p>
    <w:p>
      <w:pPr>
        <w:spacing w:line="500" w:lineRule="exact"/>
        <w:rPr>
          <w:rFonts w:hint="eastAsia" w:ascii="仿宋_GB2312" w:hAnsi="宋体"/>
          <w:bCs/>
          <w:color w:val="000000" w:themeColor="text1"/>
          <w:sz w:val="32"/>
          <w:szCs w:val="32"/>
          <w14:textFill>
            <w14:solidFill>
              <w14:schemeClr w14:val="tx1"/>
            </w14:solidFill>
          </w14:textFill>
        </w:rPr>
      </w:pPr>
    </w:p>
    <w:p>
      <w:pPr>
        <w:widowControl/>
        <w:spacing w:line="500" w:lineRule="exact"/>
        <w:jc w:val="left"/>
        <w:rPr>
          <w:rFonts w:ascii="仿宋_GB2312" w:hAnsi="宋体"/>
          <w:bCs/>
          <w:color w:val="000000" w:themeColor="text1"/>
          <w:sz w:val="28"/>
          <w:szCs w:val="28"/>
          <w14:textFill>
            <w14:solidFill>
              <w14:schemeClr w14:val="tx1"/>
            </w14:solidFill>
          </w14:textFill>
        </w:rPr>
      </w:pPr>
      <w:bookmarkStart w:id="0" w:name="_Hlk37145059"/>
      <w:r>
        <w:rPr>
          <w:rFonts w:hint="eastAsia" w:ascii="仿宋_GB2312" w:hAnsi="宋体"/>
          <w:bCs/>
          <w:color w:val="000000" w:themeColor="text1"/>
          <w:sz w:val="28"/>
          <w:szCs w:val="28"/>
          <w14:textFill>
            <w14:solidFill>
              <w14:schemeClr w14:val="tx1"/>
            </w14:solidFill>
          </w14:textFill>
        </w:rPr>
        <w:t>福建省建筑工程技术中心          郑卫基   教授级高工</w:t>
      </w:r>
    </w:p>
    <w:p>
      <w:pPr>
        <w:widowControl/>
        <w:spacing w:line="500" w:lineRule="exact"/>
        <w:jc w:val="left"/>
        <w:rPr>
          <w:rFonts w:hint="eastAsia" w:ascii="仿宋_GB2312" w:hAnsi="宋体"/>
          <w:bCs/>
          <w:color w:val="000000" w:themeColor="text1"/>
          <w:sz w:val="28"/>
          <w:szCs w:val="28"/>
          <w14:textFill>
            <w14:solidFill>
              <w14:schemeClr w14:val="tx1"/>
            </w14:solidFill>
          </w14:textFill>
        </w:rPr>
      </w:pPr>
    </w:p>
    <w:p>
      <w:pPr>
        <w:widowControl/>
        <w:spacing w:line="500" w:lineRule="exact"/>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福州市建筑设计院有限责任公司    翁锦华   教授级高工</w:t>
      </w:r>
    </w:p>
    <w:p>
      <w:pPr>
        <w:widowControl/>
        <w:spacing w:line="500" w:lineRule="exact"/>
        <w:jc w:val="left"/>
        <w:rPr>
          <w:rFonts w:hint="eastAsia" w:ascii="仿宋_GB2312" w:hAnsi="宋体"/>
          <w:bCs/>
          <w:color w:val="000000" w:themeColor="text1"/>
          <w:sz w:val="28"/>
          <w:szCs w:val="28"/>
          <w14:textFill>
            <w14:solidFill>
              <w14:schemeClr w14:val="tx1"/>
            </w14:solidFill>
          </w14:textFill>
        </w:rPr>
      </w:pPr>
    </w:p>
    <w:bookmarkEnd w:id="0"/>
    <w:p>
      <w:pPr>
        <w:widowControl/>
        <w:spacing w:line="500" w:lineRule="exact"/>
        <w:jc w:val="lef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嘉博联合设计股份</w:t>
      </w:r>
      <w:r>
        <w:rPr>
          <w:rFonts w:hint="eastAsia" w:ascii="仿宋_GB2312" w:hAnsi="宋体"/>
          <w:bCs/>
          <w:color w:val="000000" w:themeColor="text1"/>
          <w:sz w:val="28"/>
          <w:szCs w:val="28"/>
          <w14:textFill>
            <w14:solidFill>
              <w14:schemeClr w14:val="tx1"/>
            </w14:solidFill>
          </w14:textFill>
        </w:rPr>
        <w:t xml:space="preserve">有限公司  </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 xml:space="preserve">  </w:t>
      </w:r>
      <w:r>
        <w:rPr>
          <w:rFonts w:hint="eastAsia" w:ascii="仿宋_GB2312" w:hAnsi="宋体"/>
          <w:bCs/>
          <w:color w:val="000000" w:themeColor="text1"/>
          <w:sz w:val="28"/>
          <w:szCs w:val="28"/>
          <w:lang w:eastAsia="zh-CN"/>
          <w14:textFill>
            <w14:solidFill>
              <w14:schemeClr w14:val="tx1"/>
            </w14:solidFill>
          </w14:textFill>
        </w:rPr>
        <w:t>洪</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lang w:eastAsia="zh-CN"/>
          <w14:textFill>
            <w14:solidFill>
              <w14:schemeClr w14:val="tx1"/>
            </w14:solidFill>
          </w14:textFill>
        </w:rPr>
        <w:t>志</w:t>
      </w:r>
      <w:r>
        <w:rPr>
          <w:rFonts w:hint="eastAsia" w:ascii="仿宋_GB2312" w:hAnsi="宋体"/>
          <w:bCs/>
          <w:color w:val="000000" w:themeColor="text1"/>
          <w:sz w:val="28"/>
          <w:szCs w:val="28"/>
          <w14:textFill>
            <w14:solidFill>
              <w14:schemeClr w14:val="tx1"/>
            </w14:solidFill>
          </w14:textFill>
        </w:rPr>
        <w:t xml:space="preserve">   高级工程师</w:t>
      </w:r>
    </w:p>
    <w:p>
      <w:pPr>
        <w:wordWrap w:val="0"/>
        <w:spacing w:line="560" w:lineRule="exact"/>
        <w:ind w:right="1120"/>
        <w:jc w:val="right"/>
        <w:rPr>
          <w:rFonts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32"/>
          <w:szCs w:val="32"/>
          <w14:textFill>
            <w14:solidFill>
              <w14:schemeClr w14:val="tx1"/>
            </w14:solidFill>
          </w14:textFill>
        </w:rPr>
        <w:t>20</w:t>
      </w:r>
      <w:r>
        <w:rPr>
          <w:rFonts w:ascii="仿宋_GB2312" w:hAnsi="宋体"/>
          <w:bCs/>
          <w:color w:val="000000" w:themeColor="text1"/>
          <w:sz w:val="32"/>
          <w:szCs w:val="32"/>
          <w14:textFill>
            <w14:solidFill>
              <w14:schemeClr w14:val="tx1"/>
            </w14:solidFill>
          </w14:textFill>
        </w:rPr>
        <w:t>2</w:t>
      </w:r>
      <w:r>
        <w:rPr>
          <w:rFonts w:hint="eastAsia" w:ascii="仿宋_GB2312" w:hAnsi="宋体"/>
          <w:bCs/>
          <w:color w:val="000000" w:themeColor="text1"/>
          <w:sz w:val="32"/>
          <w:szCs w:val="32"/>
          <w:lang w:val="en-US" w:eastAsia="zh-CN"/>
          <w14:textFill>
            <w14:solidFill>
              <w14:schemeClr w14:val="tx1"/>
            </w14:solidFill>
          </w14:textFill>
        </w:rPr>
        <w:t>1</w:t>
      </w:r>
      <w:r>
        <w:rPr>
          <w:rFonts w:hint="eastAsia" w:ascii="仿宋_GB2312" w:hAnsi="宋体"/>
          <w:bCs/>
          <w:color w:val="000000" w:themeColor="text1"/>
          <w:sz w:val="32"/>
          <w:szCs w:val="32"/>
          <w14:textFill>
            <w14:solidFill>
              <w14:schemeClr w14:val="tx1"/>
            </w14:solidFill>
          </w14:textFill>
        </w:rPr>
        <w:t xml:space="preserve">年 </w:t>
      </w:r>
      <w:r>
        <w:rPr>
          <w:rFonts w:hint="eastAsia" w:ascii="仿宋_GB2312" w:hAnsi="宋体"/>
          <w:bCs/>
          <w:color w:val="000000" w:themeColor="text1"/>
          <w:sz w:val="32"/>
          <w:szCs w:val="32"/>
          <w:lang w:val="en-US" w:eastAsia="zh-CN"/>
          <w14:textFill>
            <w14:solidFill>
              <w14:schemeClr w14:val="tx1"/>
            </w14:solidFill>
          </w14:textFill>
        </w:rPr>
        <w:t>04</w:t>
      </w:r>
      <w:r>
        <w:rPr>
          <w:rFonts w:hint="eastAsia" w:ascii="仿宋_GB2312" w:hAnsi="宋体"/>
          <w:bCs/>
          <w:color w:val="000000" w:themeColor="text1"/>
          <w:sz w:val="32"/>
          <w:szCs w:val="32"/>
          <w14:textFill>
            <w14:solidFill>
              <w14:schemeClr w14:val="tx1"/>
            </w14:solidFill>
          </w14:textFill>
        </w:rPr>
        <w:t xml:space="preserve">月 </w:t>
      </w:r>
      <w:r>
        <w:rPr>
          <w:rFonts w:hint="eastAsia" w:ascii="仿宋_GB2312" w:hAnsi="宋体"/>
          <w:bCs/>
          <w:color w:val="000000" w:themeColor="text1"/>
          <w:sz w:val="32"/>
          <w:szCs w:val="32"/>
          <w:lang w:val="en-US" w:eastAsia="zh-CN"/>
          <w14:textFill>
            <w14:solidFill>
              <w14:schemeClr w14:val="tx1"/>
            </w14:solidFill>
          </w14:textFill>
        </w:rPr>
        <w:t>02</w:t>
      </w:r>
      <w:r>
        <w:rPr>
          <w:rFonts w:hint="eastAsia" w:ascii="仿宋_GB2312" w:hAnsi="宋体"/>
          <w:bCs/>
          <w:color w:val="000000" w:themeColor="text1"/>
          <w:sz w:val="32"/>
          <w:szCs w:val="32"/>
          <w14:textFill>
            <w14:solidFill>
              <w14:schemeClr w14:val="tx1"/>
            </w14:solidFill>
          </w14:textFill>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F1"/>
    <w:rsid w:val="00001B22"/>
    <w:rsid w:val="00010964"/>
    <w:rsid w:val="00014F9D"/>
    <w:rsid w:val="00031127"/>
    <w:rsid w:val="0004477B"/>
    <w:rsid w:val="00046A04"/>
    <w:rsid w:val="00047EB2"/>
    <w:rsid w:val="0007069E"/>
    <w:rsid w:val="00077D10"/>
    <w:rsid w:val="000926B5"/>
    <w:rsid w:val="000D1E2F"/>
    <w:rsid w:val="000D4AAE"/>
    <w:rsid w:val="0010062D"/>
    <w:rsid w:val="00102AA7"/>
    <w:rsid w:val="001033B3"/>
    <w:rsid w:val="0010602A"/>
    <w:rsid w:val="00126E41"/>
    <w:rsid w:val="00132E0C"/>
    <w:rsid w:val="0014787D"/>
    <w:rsid w:val="00165380"/>
    <w:rsid w:val="0017310D"/>
    <w:rsid w:val="00183BD2"/>
    <w:rsid w:val="00194C1F"/>
    <w:rsid w:val="001C3C5E"/>
    <w:rsid w:val="001D5637"/>
    <w:rsid w:val="001E26E0"/>
    <w:rsid w:val="001E7EF4"/>
    <w:rsid w:val="001F36AF"/>
    <w:rsid w:val="001F6650"/>
    <w:rsid w:val="00201A39"/>
    <w:rsid w:val="002276C6"/>
    <w:rsid w:val="002418B9"/>
    <w:rsid w:val="002564A1"/>
    <w:rsid w:val="00256954"/>
    <w:rsid w:val="00264A07"/>
    <w:rsid w:val="00266F67"/>
    <w:rsid w:val="0027394F"/>
    <w:rsid w:val="00275074"/>
    <w:rsid w:val="00275F6B"/>
    <w:rsid w:val="002F1876"/>
    <w:rsid w:val="002F3645"/>
    <w:rsid w:val="00313EDE"/>
    <w:rsid w:val="00336B4A"/>
    <w:rsid w:val="00386DC6"/>
    <w:rsid w:val="00395FE2"/>
    <w:rsid w:val="003A075E"/>
    <w:rsid w:val="003A67F1"/>
    <w:rsid w:val="003B19E1"/>
    <w:rsid w:val="003C3DA3"/>
    <w:rsid w:val="003C5583"/>
    <w:rsid w:val="003F1080"/>
    <w:rsid w:val="003F29B4"/>
    <w:rsid w:val="00401717"/>
    <w:rsid w:val="00401DC9"/>
    <w:rsid w:val="00405489"/>
    <w:rsid w:val="004134B0"/>
    <w:rsid w:val="0042500C"/>
    <w:rsid w:val="00452851"/>
    <w:rsid w:val="00454C02"/>
    <w:rsid w:val="00470502"/>
    <w:rsid w:val="00470F87"/>
    <w:rsid w:val="00472DE0"/>
    <w:rsid w:val="00473323"/>
    <w:rsid w:val="00497AC5"/>
    <w:rsid w:val="004B0A0F"/>
    <w:rsid w:val="004B319C"/>
    <w:rsid w:val="004C1189"/>
    <w:rsid w:val="004D662F"/>
    <w:rsid w:val="004E0F00"/>
    <w:rsid w:val="00501F00"/>
    <w:rsid w:val="00515EDB"/>
    <w:rsid w:val="00542F98"/>
    <w:rsid w:val="00543AE6"/>
    <w:rsid w:val="00552FBD"/>
    <w:rsid w:val="00566CC9"/>
    <w:rsid w:val="00570225"/>
    <w:rsid w:val="005933D1"/>
    <w:rsid w:val="00593FED"/>
    <w:rsid w:val="005A4799"/>
    <w:rsid w:val="005B1F0A"/>
    <w:rsid w:val="005C24E9"/>
    <w:rsid w:val="005C70D8"/>
    <w:rsid w:val="005D20BF"/>
    <w:rsid w:val="005D5E31"/>
    <w:rsid w:val="005E4295"/>
    <w:rsid w:val="006207BF"/>
    <w:rsid w:val="00631A3C"/>
    <w:rsid w:val="00637807"/>
    <w:rsid w:val="0064431A"/>
    <w:rsid w:val="0065227A"/>
    <w:rsid w:val="00655515"/>
    <w:rsid w:val="006700FC"/>
    <w:rsid w:val="00672469"/>
    <w:rsid w:val="00683C5D"/>
    <w:rsid w:val="006917C5"/>
    <w:rsid w:val="0069432D"/>
    <w:rsid w:val="006A2D8E"/>
    <w:rsid w:val="006B3BF2"/>
    <w:rsid w:val="006E5018"/>
    <w:rsid w:val="006E72C0"/>
    <w:rsid w:val="00716E46"/>
    <w:rsid w:val="00720B01"/>
    <w:rsid w:val="007244D2"/>
    <w:rsid w:val="00725480"/>
    <w:rsid w:val="00737193"/>
    <w:rsid w:val="0076048A"/>
    <w:rsid w:val="00764349"/>
    <w:rsid w:val="007667C3"/>
    <w:rsid w:val="007877E5"/>
    <w:rsid w:val="007913A3"/>
    <w:rsid w:val="007B001B"/>
    <w:rsid w:val="007B100A"/>
    <w:rsid w:val="007B3262"/>
    <w:rsid w:val="007B3F05"/>
    <w:rsid w:val="007C0C62"/>
    <w:rsid w:val="007C41FD"/>
    <w:rsid w:val="007C5C37"/>
    <w:rsid w:val="007C5D22"/>
    <w:rsid w:val="007D542A"/>
    <w:rsid w:val="007F3ADF"/>
    <w:rsid w:val="007F43ED"/>
    <w:rsid w:val="007F7AD2"/>
    <w:rsid w:val="007F7F01"/>
    <w:rsid w:val="00835B9B"/>
    <w:rsid w:val="00835E6E"/>
    <w:rsid w:val="008409ED"/>
    <w:rsid w:val="008453FD"/>
    <w:rsid w:val="00871BF4"/>
    <w:rsid w:val="00881ECF"/>
    <w:rsid w:val="00892760"/>
    <w:rsid w:val="008A5380"/>
    <w:rsid w:val="008C0A7F"/>
    <w:rsid w:val="008C6CDB"/>
    <w:rsid w:val="008D0CE4"/>
    <w:rsid w:val="008D2374"/>
    <w:rsid w:val="008D34F1"/>
    <w:rsid w:val="008E68D6"/>
    <w:rsid w:val="008E7AA0"/>
    <w:rsid w:val="008F443E"/>
    <w:rsid w:val="008F4FA7"/>
    <w:rsid w:val="00951DA6"/>
    <w:rsid w:val="00954523"/>
    <w:rsid w:val="0097603E"/>
    <w:rsid w:val="00977FE9"/>
    <w:rsid w:val="00996017"/>
    <w:rsid w:val="009B0975"/>
    <w:rsid w:val="009B5AEA"/>
    <w:rsid w:val="009C1334"/>
    <w:rsid w:val="009D0729"/>
    <w:rsid w:val="009D74D2"/>
    <w:rsid w:val="009E3C0B"/>
    <w:rsid w:val="009F3F01"/>
    <w:rsid w:val="009F602B"/>
    <w:rsid w:val="00A06890"/>
    <w:rsid w:val="00A127BF"/>
    <w:rsid w:val="00A328CF"/>
    <w:rsid w:val="00A51CE5"/>
    <w:rsid w:val="00A57202"/>
    <w:rsid w:val="00A579A0"/>
    <w:rsid w:val="00A65FA3"/>
    <w:rsid w:val="00A87BC2"/>
    <w:rsid w:val="00A940B7"/>
    <w:rsid w:val="00AC2DF1"/>
    <w:rsid w:val="00AF222E"/>
    <w:rsid w:val="00AF39F0"/>
    <w:rsid w:val="00B00E2C"/>
    <w:rsid w:val="00B161FE"/>
    <w:rsid w:val="00B23714"/>
    <w:rsid w:val="00B331D6"/>
    <w:rsid w:val="00B37156"/>
    <w:rsid w:val="00B46B58"/>
    <w:rsid w:val="00B55F79"/>
    <w:rsid w:val="00B61F59"/>
    <w:rsid w:val="00B667C5"/>
    <w:rsid w:val="00B67A7F"/>
    <w:rsid w:val="00B71EB3"/>
    <w:rsid w:val="00B82041"/>
    <w:rsid w:val="00B97844"/>
    <w:rsid w:val="00BA5914"/>
    <w:rsid w:val="00BD3D08"/>
    <w:rsid w:val="00BE78A6"/>
    <w:rsid w:val="00BE7F9D"/>
    <w:rsid w:val="00BF7DEB"/>
    <w:rsid w:val="00C04DA3"/>
    <w:rsid w:val="00C06CF4"/>
    <w:rsid w:val="00C10669"/>
    <w:rsid w:val="00C11CF3"/>
    <w:rsid w:val="00C13A83"/>
    <w:rsid w:val="00C31A6B"/>
    <w:rsid w:val="00C33332"/>
    <w:rsid w:val="00C5093B"/>
    <w:rsid w:val="00C518AD"/>
    <w:rsid w:val="00C643A8"/>
    <w:rsid w:val="00C65907"/>
    <w:rsid w:val="00C75967"/>
    <w:rsid w:val="00C9015F"/>
    <w:rsid w:val="00CA6D8C"/>
    <w:rsid w:val="00CB3DB3"/>
    <w:rsid w:val="00CD5E97"/>
    <w:rsid w:val="00CE149E"/>
    <w:rsid w:val="00CE1C0D"/>
    <w:rsid w:val="00CE47E1"/>
    <w:rsid w:val="00CF2E1A"/>
    <w:rsid w:val="00D0565A"/>
    <w:rsid w:val="00D12B36"/>
    <w:rsid w:val="00D206DF"/>
    <w:rsid w:val="00D21431"/>
    <w:rsid w:val="00D4055C"/>
    <w:rsid w:val="00D8147B"/>
    <w:rsid w:val="00D81B07"/>
    <w:rsid w:val="00D863FF"/>
    <w:rsid w:val="00D9255A"/>
    <w:rsid w:val="00D94237"/>
    <w:rsid w:val="00DA012F"/>
    <w:rsid w:val="00DC1D70"/>
    <w:rsid w:val="00DE02C7"/>
    <w:rsid w:val="00DE251E"/>
    <w:rsid w:val="00DF3095"/>
    <w:rsid w:val="00E26CEA"/>
    <w:rsid w:val="00E3475D"/>
    <w:rsid w:val="00E42237"/>
    <w:rsid w:val="00E43326"/>
    <w:rsid w:val="00E53EAD"/>
    <w:rsid w:val="00E678F1"/>
    <w:rsid w:val="00E73862"/>
    <w:rsid w:val="00E74B2C"/>
    <w:rsid w:val="00E9304E"/>
    <w:rsid w:val="00E97743"/>
    <w:rsid w:val="00EA2F13"/>
    <w:rsid w:val="00EB3C07"/>
    <w:rsid w:val="00EC3F63"/>
    <w:rsid w:val="00EC740C"/>
    <w:rsid w:val="00EE00A5"/>
    <w:rsid w:val="00F06F3C"/>
    <w:rsid w:val="00F1702A"/>
    <w:rsid w:val="00F26D4E"/>
    <w:rsid w:val="00F411CB"/>
    <w:rsid w:val="00F506C3"/>
    <w:rsid w:val="00F52922"/>
    <w:rsid w:val="00F56423"/>
    <w:rsid w:val="00F57DBB"/>
    <w:rsid w:val="00F65F13"/>
    <w:rsid w:val="00F75491"/>
    <w:rsid w:val="00F9673B"/>
    <w:rsid w:val="00FA4649"/>
    <w:rsid w:val="00FB0E74"/>
    <w:rsid w:val="00FB1BD1"/>
    <w:rsid w:val="00FC00F3"/>
    <w:rsid w:val="00FC5B5C"/>
    <w:rsid w:val="00FF57E2"/>
    <w:rsid w:val="00FF5CD4"/>
    <w:rsid w:val="02AD602F"/>
    <w:rsid w:val="02AF00B3"/>
    <w:rsid w:val="02CE7EAB"/>
    <w:rsid w:val="03151AC3"/>
    <w:rsid w:val="06B17687"/>
    <w:rsid w:val="0860640D"/>
    <w:rsid w:val="0BF36FF7"/>
    <w:rsid w:val="0C364933"/>
    <w:rsid w:val="0C540555"/>
    <w:rsid w:val="0D7350F2"/>
    <w:rsid w:val="0FEB62E3"/>
    <w:rsid w:val="10527066"/>
    <w:rsid w:val="12750247"/>
    <w:rsid w:val="130B3D11"/>
    <w:rsid w:val="147C11FC"/>
    <w:rsid w:val="14B053A7"/>
    <w:rsid w:val="1539655D"/>
    <w:rsid w:val="153B386D"/>
    <w:rsid w:val="15F0183D"/>
    <w:rsid w:val="16940223"/>
    <w:rsid w:val="170008E4"/>
    <w:rsid w:val="181025D6"/>
    <w:rsid w:val="1A4816C0"/>
    <w:rsid w:val="1A4C6BBB"/>
    <w:rsid w:val="1C471301"/>
    <w:rsid w:val="1DC21729"/>
    <w:rsid w:val="1DCC4B11"/>
    <w:rsid w:val="1FA3511C"/>
    <w:rsid w:val="2114547D"/>
    <w:rsid w:val="222375F7"/>
    <w:rsid w:val="227F5EAB"/>
    <w:rsid w:val="2304780B"/>
    <w:rsid w:val="25297BA2"/>
    <w:rsid w:val="27C5207C"/>
    <w:rsid w:val="288A2A7D"/>
    <w:rsid w:val="29F13054"/>
    <w:rsid w:val="2A763612"/>
    <w:rsid w:val="2AEF07D4"/>
    <w:rsid w:val="2E0E3CD2"/>
    <w:rsid w:val="2EB441D0"/>
    <w:rsid w:val="32AA10B9"/>
    <w:rsid w:val="35FF5A86"/>
    <w:rsid w:val="36307512"/>
    <w:rsid w:val="36520928"/>
    <w:rsid w:val="36CC4C76"/>
    <w:rsid w:val="370016E2"/>
    <w:rsid w:val="38A1306C"/>
    <w:rsid w:val="39BA2A24"/>
    <w:rsid w:val="3A957C68"/>
    <w:rsid w:val="3BDA5482"/>
    <w:rsid w:val="3C4A2BDA"/>
    <w:rsid w:val="3DDE15E1"/>
    <w:rsid w:val="3E612243"/>
    <w:rsid w:val="3FF52BA4"/>
    <w:rsid w:val="42984D94"/>
    <w:rsid w:val="42DF3068"/>
    <w:rsid w:val="43B66D3F"/>
    <w:rsid w:val="43CC6C26"/>
    <w:rsid w:val="452C451B"/>
    <w:rsid w:val="486662B1"/>
    <w:rsid w:val="48DB0A9A"/>
    <w:rsid w:val="495070E8"/>
    <w:rsid w:val="49604A66"/>
    <w:rsid w:val="4BB20089"/>
    <w:rsid w:val="4C1A4DC8"/>
    <w:rsid w:val="4C6B4EF9"/>
    <w:rsid w:val="4D026D32"/>
    <w:rsid w:val="4D2C74CB"/>
    <w:rsid w:val="4FE64EF3"/>
    <w:rsid w:val="504A0E65"/>
    <w:rsid w:val="50675880"/>
    <w:rsid w:val="50C51AFA"/>
    <w:rsid w:val="53083639"/>
    <w:rsid w:val="539A53CE"/>
    <w:rsid w:val="53F0314D"/>
    <w:rsid w:val="54686BAD"/>
    <w:rsid w:val="5A7A1531"/>
    <w:rsid w:val="5B9E0AC4"/>
    <w:rsid w:val="5C040C64"/>
    <w:rsid w:val="5D2141E0"/>
    <w:rsid w:val="5D633F30"/>
    <w:rsid w:val="5E797F0D"/>
    <w:rsid w:val="5F291774"/>
    <w:rsid w:val="5F43625E"/>
    <w:rsid w:val="5F6E2F1E"/>
    <w:rsid w:val="5FED1447"/>
    <w:rsid w:val="60FC3854"/>
    <w:rsid w:val="61DB24C0"/>
    <w:rsid w:val="62064B2C"/>
    <w:rsid w:val="62CA3B2A"/>
    <w:rsid w:val="62D30DE0"/>
    <w:rsid w:val="65462B98"/>
    <w:rsid w:val="66AA3B93"/>
    <w:rsid w:val="66F2063F"/>
    <w:rsid w:val="672D4B1D"/>
    <w:rsid w:val="678F5EDC"/>
    <w:rsid w:val="67D60C4A"/>
    <w:rsid w:val="686B09A7"/>
    <w:rsid w:val="68850F92"/>
    <w:rsid w:val="6B2D53B2"/>
    <w:rsid w:val="6BC6086A"/>
    <w:rsid w:val="6C26114A"/>
    <w:rsid w:val="6E242CF9"/>
    <w:rsid w:val="722828EB"/>
    <w:rsid w:val="72C055D8"/>
    <w:rsid w:val="74742163"/>
    <w:rsid w:val="75E959AD"/>
    <w:rsid w:val="78E95987"/>
    <w:rsid w:val="793C11AE"/>
    <w:rsid w:val="7A6F2CDF"/>
    <w:rsid w:val="7B0336F0"/>
    <w:rsid w:val="7B160A7A"/>
    <w:rsid w:val="7B2D19F1"/>
    <w:rsid w:val="7BA65465"/>
    <w:rsid w:val="7BF417FA"/>
    <w:rsid w:val="7C6B473E"/>
    <w:rsid w:val="7C9C3B46"/>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 w:type="paragraph" w:customStyle="1" w:styleId="9">
    <w:name w:val="p0"/>
    <w:basedOn w:val="1"/>
    <w:qFormat/>
    <w:uiPriority w:val="0"/>
    <w:pPr>
      <w:widowControl/>
    </w:pPr>
    <w:rPr>
      <w:kern w:val="0"/>
      <w:sz w:val="32"/>
      <w:szCs w:val="32"/>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福州市建筑设计院</Company>
  <Pages>2</Pages>
  <Words>898</Words>
  <Characters>307</Characters>
  <Lines>2</Lines>
  <Paragraphs>2</Paragraphs>
  <TotalTime>11</TotalTime>
  <ScaleCrop>false</ScaleCrop>
  <LinksUpToDate>false</LinksUpToDate>
  <CharactersWithSpaces>1203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设备用户</dc:creator>
  <cp:lastModifiedBy>方晨</cp:lastModifiedBy>
  <dcterms:modified xsi:type="dcterms:W3CDTF">2021-04-02T08:44:54Z</dcterms:modified>
  <dc:title>福兴经济开发区提升改造项目C1地块</dc:title>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6F969C2B48194765A7969A029361BA45</vt:lpwstr>
  </property>
</Properties>
</file>