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金地云境小区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”项目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3#、5#、3A#、P1#、P2#楼</w:t>
      </w:r>
    </w:p>
    <w:p>
      <w:pPr>
        <w:jc w:val="center"/>
        <w:rPr>
          <w:rFonts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装配式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建筑设计阶段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预评价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专家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评审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意见</w:t>
      </w:r>
    </w:p>
    <w:p>
      <w:pPr>
        <w:snapToGrid w:val="0"/>
        <w:spacing w:line="490" w:lineRule="exact"/>
        <w:ind w:firstLine="560" w:firstLineChars="200"/>
        <w:rPr>
          <w:rFonts w:hint="eastAsia" w:ascii="仿宋_GB2312"/>
          <w:sz w:val="28"/>
          <w:szCs w:val="24"/>
          <w:lang w:val="en-US" w:eastAsia="zh-CN"/>
        </w:rPr>
      </w:pPr>
      <w:r>
        <w:rPr>
          <w:rFonts w:hint="eastAsia" w:ascii="仿宋_GB2312"/>
          <w:sz w:val="28"/>
          <w:szCs w:val="24"/>
          <w:lang w:val="en-US" w:eastAsia="zh-CN"/>
        </w:rPr>
        <w:t>2022年03月02日，福州金霖房地产开发有限公司在福州市组织召开“金地云境小区”项目3#、5#、3A#、P1#、P2#楼装配式建筑设计阶段预评价专家评审会，会议由福州金霖房地产开发有限公司主持，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评审专家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设计单位、施工图审查单位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相关人员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参加会议。</w:t>
      </w:r>
      <w:bookmarkStart w:id="1" w:name="_GoBack"/>
      <w:bookmarkEnd w:id="1"/>
    </w:p>
    <w:p>
      <w:pPr>
        <w:snapToGrid w:val="0"/>
        <w:spacing w:line="490" w:lineRule="exact"/>
        <w:ind w:firstLine="560" w:firstLineChars="200"/>
        <w:rPr>
          <w:rFonts w:hint="eastAsia" w:ascii="仿宋_GB2312"/>
          <w:sz w:val="28"/>
          <w:szCs w:val="24"/>
        </w:rPr>
      </w:pPr>
      <w:r>
        <w:rPr>
          <w:rFonts w:hint="eastAsia" w:ascii="仿宋_GB2312"/>
          <w:sz w:val="28"/>
          <w:szCs w:val="24"/>
          <w:lang w:val="en-US" w:eastAsia="zh-CN"/>
        </w:rPr>
        <w:t>工程基本简况如下：该项目位于福州市晋安区。由1栋多层住宅、4栋高层住宅、1栋单层住宅（已建历史保护建筑）、4栋单层配套用房和地下室组成，总建筑面积为</w:t>
      </w:r>
      <w:r>
        <w:rPr>
          <w:rFonts w:hint="eastAsia" w:ascii="仿宋_GB2312"/>
          <w:sz w:val="28"/>
          <w:szCs w:val="24"/>
        </w:rPr>
        <w:t>44087.45</w:t>
      </w:r>
      <w:r>
        <w:rPr>
          <w:rFonts w:hint="eastAsia" w:ascii="仿宋_GB2312"/>
          <w:sz w:val="28"/>
          <w:szCs w:val="24"/>
          <w:lang w:val="en-US" w:eastAsia="zh-CN"/>
        </w:rPr>
        <w:t>㎡，计入容积率的建筑面积为</w:t>
      </w:r>
      <w:r>
        <w:rPr>
          <w:rFonts w:hint="eastAsia" w:ascii="仿宋_GB2312"/>
          <w:sz w:val="28"/>
          <w:szCs w:val="24"/>
        </w:rPr>
        <w:t>33050.08</w:t>
      </w:r>
      <w:r>
        <w:rPr>
          <w:rFonts w:hint="eastAsia" w:ascii="仿宋_GB2312"/>
          <w:sz w:val="28"/>
          <w:szCs w:val="24"/>
          <w:lang w:val="en-US" w:eastAsia="zh-CN"/>
        </w:rPr>
        <w:t>㎡。其中3#、5#、3A#、P1#、P2#楼采用预制装配式混凝土结构，3A#、P1#、P2#楼单体计容面积均不大于500㎡且层数均不大于三层，3A#、P1#、P2#楼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以一个建筑组团作为评价单元</w:t>
      </w:r>
      <w:r>
        <w:rPr>
          <w:rFonts w:hint="eastAsia" w:ascii="仿宋_GB2312"/>
          <w:sz w:val="28"/>
          <w:szCs w:val="24"/>
          <w:lang w:val="en-US" w:eastAsia="zh-CN"/>
        </w:rPr>
        <w:t>，装配式楼栋的计容建筑面积为</w:t>
      </w:r>
      <w:r>
        <w:rPr>
          <w:rFonts w:hint="eastAsia" w:ascii="仿宋_GB2312" w:hAnsi="Times New Roman" w:cs="Times New Roman"/>
          <w:sz w:val="28"/>
          <w:szCs w:val="24"/>
          <w:lang w:val="en-US" w:eastAsia="zh-CN"/>
        </w:rPr>
        <w:t>16543.04</w:t>
      </w:r>
      <w:r>
        <w:rPr>
          <w:rFonts w:hint="eastAsia" w:ascii="仿宋_GB2312"/>
          <w:sz w:val="28"/>
          <w:szCs w:val="24"/>
          <w:lang w:val="en-US" w:eastAsia="zh-CN"/>
        </w:rPr>
        <w:t>/</w:t>
      </w:r>
      <w:r>
        <w:rPr>
          <w:rFonts w:hint="eastAsia" w:ascii="仿宋_GB2312"/>
          <w:sz w:val="28"/>
          <w:szCs w:val="24"/>
        </w:rPr>
        <w:t>33050.08</w:t>
      </w:r>
      <w:r>
        <w:rPr>
          <w:rFonts w:hint="eastAsia" w:ascii="仿宋_GB2312"/>
          <w:sz w:val="28"/>
          <w:szCs w:val="24"/>
          <w:lang w:val="en-US" w:eastAsia="zh-CN"/>
        </w:rPr>
        <w:t>=50.05%&gt;50%，满足福州市人民政府文件榕政综〔2017〕1164号的相关规定要求。</w:t>
      </w:r>
    </w:p>
    <w:p>
      <w:pPr>
        <w:spacing w:line="490" w:lineRule="exact"/>
        <w:ind w:firstLine="560" w:firstLineChars="200"/>
        <w:jc w:val="left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各单体预制装配内容及装配率详下表：</w:t>
      </w:r>
    </w:p>
    <w:tbl>
      <w:tblPr>
        <w:tblStyle w:val="5"/>
        <w:tblW w:w="4705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9"/>
        <w:gridCol w:w="2368"/>
        <w:gridCol w:w="879"/>
        <w:gridCol w:w="880"/>
        <w:gridCol w:w="18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评价项</w:t>
            </w:r>
          </w:p>
        </w:tc>
        <w:tc>
          <w:tcPr>
            <w:tcW w:w="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3#楼</w:t>
            </w:r>
          </w:p>
        </w:tc>
        <w:tc>
          <w:tcPr>
            <w:tcW w:w="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5#楼</w:t>
            </w:r>
          </w:p>
        </w:tc>
        <w:tc>
          <w:tcPr>
            <w:tcW w:w="11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3A#、P1#、P2#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楼建筑组团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99" w:type="pct"/>
            <w:vMerge w:val="restart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主体结构</w:t>
            </w:r>
          </w:p>
        </w:tc>
        <w:tc>
          <w:tcPr>
            <w:tcW w:w="15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水平预制构件</w:t>
            </w:r>
          </w:p>
        </w:tc>
        <w:tc>
          <w:tcPr>
            <w:tcW w:w="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28.2</w:t>
            </w:r>
          </w:p>
        </w:tc>
        <w:tc>
          <w:tcPr>
            <w:tcW w:w="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28.1</w:t>
            </w:r>
          </w:p>
        </w:tc>
        <w:tc>
          <w:tcPr>
            <w:tcW w:w="11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99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装配式建筑设计标准化、模数化</w:t>
            </w:r>
          </w:p>
        </w:tc>
        <w:tc>
          <w:tcPr>
            <w:tcW w:w="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99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部品部件通用化</w:t>
            </w:r>
          </w:p>
        </w:tc>
        <w:tc>
          <w:tcPr>
            <w:tcW w:w="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围护墙和内隔墙</w:t>
            </w:r>
          </w:p>
        </w:tc>
        <w:tc>
          <w:tcPr>
            <w:tcW w:w="15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内隔墙非砌筑</w:t>
            </w:r>
          </w:p>
        </w:tc>
        <w:tc>
          <w:tcPr>
            <w:tcW w:w="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7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装修和设备管线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99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技术创新</w:t>
            </w:r>
          </w:p>
        </w:tc>
        <w:tc>
          <w:tcPr>
            <w:tcW w:w="15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设计阶段BIM</w:t>
            </w:r>
          </w:p>
        </w:tc>
        <w:tc>
          <w:tcPr>
            <w:tcW w:w="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99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施工阶段BIM</w:t>
            </w:r>
          </w:p>
        </w:tc>
        <w:tc>
          <w:tcPr>
            <w:tcW w:w="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99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可追溯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系统</w:t>
            </w:r>
          </w:p>
        </w:tc>
        <w:tc>
          <w:tcPr>
            <w:tcW w:w="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71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50.2</w:t>
            </w:r>
          </w:p>
        </w:tc>
        <w:tc>
          <w:tcPr>
            <w:tcW w:w="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50.1</w:t>
            </w:r>
          </w:p>
        </w:tc>
        <w:tc>
          <w:tcPr>
            <w:tcW w:w="11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71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装配率（%）</w:t>
            </w:r>
          </w:p>
        </w:tc>
        <w:tc>
          <w:tcPr>
            <w:tcW w:w="5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5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11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施工图设计文件已通过审图机构审查。审查机构：福建省建科院施工图审查有限公司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仿宋_GB2312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合格证编号:</w:t>
      </w:r>
      <w:r>
        <w:t xml:space="preserve"> </w:t>
      </w:r>
      <w:r>
        <w:rPr>
          <w:rFonts w:hint="eastAsia" w:ascii="仿宋_GB2312" w:hAnsi="宋体"/>
          <w:bCs/>
          <w:color w:val="auto"/>
          <w:sz w:val="28"/>
          <w:szCs w:val="28"/>
        </w:rPr>
        <w:t>3501112110110102-TX-002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490" w:lineRule="exact"/>
        <w:ind w:firstLine="560" w:firstLineChars="200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与会专家听取了福建博宇建筑设计有限公司及建设单位对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的介绍，经会议研究讨论，形成以下意见：</w:t>
      </w:r>
    </w:p>
    <w:p>
      <w:pPr>
        <w:spacing w:line="490" w:lineRule="exact"/>
        <w:ind w:firstLine="560" w:firstLineChars="200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(1)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装配式建造的建筑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面积不小于总建筑面积计容部分的50%，满足福州市人民政府文件榕政综〔2017〕1164号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的相关规定，且满足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国有建设用地使用权出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让合同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合同编号：35010020210908P050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相关要求。</w:t>
      </w:r>
    </w:p>
    <w:p>
      <w:pPr>
        <w:spacing w:line="490" w:lineRule="exact"/>
        <w:ind w:firstLine="560" w:firstLineChars="200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(2)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该工程3#、5#、3A#、P1#、P2#楼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装配式建筑设计相关资料完整，其主体结构、围护墙和内隔墙、技术创新部分的分值均不低于最低分值要求，各单体建筑装配率均不低于</w:t>
      </w:r>
      <w:r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%，符合《福建省装配式建筑评价管理办法（试行）》（闽建[2</w:t>
      </w:r>
      <w:r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020]4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号）的相关规定，同意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该工程3#、5#、3A#、P1#、P2#楼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设计阶段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预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评价为装配式建筑。</w:t>
      </w:r>
    </w:p>
    <w:p>
      <w:pPr>
        <w:spacing w:line="500" w:lineRule="exac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hint="eastAsia" w:ascii="仿宋_GB2312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专家名单：</w:t>
      </w:r>
      <w:r>
        <w:rPr>
          <w:rFonts w:hint="eastAsia" w:ascii="仿宋_GB2312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Hlk37145059"/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郑卫基   教授级高工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福建省建筑工程技术中心        </w:t>
      </w:r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翁锦华   教授级高工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福州市建筑设计院有限责任公司    </w:t>
      </w:r>
    </w:p>
    <w:bookmarkEnd w:id="0"/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张雅杰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工程师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福建建工装配式建筑研究院有限公司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</w:p>
    <w:p>
      <w:pPr>
        <w:wordWrap w:val="0"/>
        <w:spacing w:line="560" w:lineRule="exact"/>
        <w:ind w:right="1120"/>
        <w:jc w:val="righ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ordWrap/>
        <w:spacing w:line="560" w:lineRule="exact"/>
        <w:ind w:right="1120"/>
        <w:jc w:val="right"/>
        <w:rPr>
          <w:rFonts w:ascii="仿宋_GB2312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03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F1"/>
    <w:rsid w:val="00001B22"/>
    <w:rsid w:val="00010964"/>
    <w:rsid w:val="00014F9D"/>
    <w:rsid w:val="00031127"/>
    <w:rsid w:val="0004477B"/>
    <w:rsid w:val="00046A04"/>
    <w:rsid w:val="00047EB2"/>
    <w:rsid w:val="0007069E"/>
    <w:rsid w:val="00077D10"/>
    <w:rsid w:val="000926B5"/>
    <w:rsid w:val="000D1E2F"/>
    <w:rsid w:val="000D4AAE"/>
    <w:rsid w:val="0010062D"/>
    <w:rsid w:val="00102AA7"/>
    <w:rsid w:val="001033B3"/>
    <w:rsid w:val="0010602A"/>
    <w:rsid w:val="00126E41"/>
    <w:rsid w:val="00132E0C"/>
    <w:rsid w:val="0014787D"/>
    <w:rsid w:val="00165380"/>
    <w:rsid w:val="0017310D"/>
    <w:rsid w:val="00183BD2"/>
    <w:rsid w:val="00194C1F"/>
    <w:rsid w:val="001C3C5E"/>
    <w:rsid w:val="001D5637"/>
    <w:rsid w:val="001E26E0"/>
    <w:rsid w:val="001E7EF4"/>
    <w:rsid w:val="001F36AF"/>
    <w:rsid w:val="001F6650"/>
    <w:rsid w:val="00201A39"/>
    <w:rsid w:val="002276C6"/>
    <w:rsid w:val="002418B9"/>
    <w:rsid w:val="002564A1"/>
    <w:rsid w:val="00256954"/>
    <w:rsid w:val="00264A07"/>
    <w:rsid w:val="00266F67"/>
    <w:rsid w:val="0027394F"/>
    <w:rsid w:val="00275074"/>
    <w:rsid w:val="00275F6B"/>
    <w:rsid w:val="002F1876"/>
    <w:rsid w:val="002F3645"/>
    <w:rsid w:val="00313EDE"/>
    <w:rsid w:val="00336B4A"/>
    <w:rsid w:val="00386DC6"/>
    <w:rsid w:val="00395FE2"/>
    <w:rsid w:val="003A075E"/>
    <w:rsid w:val="003A67F1"/>
    <w:rsid w:val="003B19E1"/>
    <w:rsid w:val="003C3DA3"/>
    <w:rsid w:val="003C5583"/>
    <w:rsid w:val="003F1080"/>
    <w:rsid w:val="003F29B4"/>
    <w:rsid w:val="00401717"/>
    <w:rsid w:val="00401DC9"/>
    <w:rsid w:val="00405489"/>
    <w:rsid w:val="004134B0"/>
    <w:rsid w:val="0042500C"/>
    <w:rsid w:val="00452851"/>
    <w:rsid w:val="00454C02"/>
    <w:rsid w:val="00470502"/>
    <w:rsid w:val="00470F87"/>
    <w:rsid w:val="00472DE0"/>
    <w:rsid w:val="00473323"/>
    <w:rsid w:val="00497AC5"/>
    <w:rsid w:val="004B0A0F"/>
    <w:rsid w:val="004B319C"/>
    <w:rsid w:val="004C1189"/>
    <w:rsid w:val="004D662F"/>
    <w:rsid w:val="004E0F00"/>
    <w:rsid w:val="00501F00"/>
    <w:rsid w:val="00515EDB"/>
    <w:rsid w:val="00542F98"/>
    <w:rsid w:val="00543AE6"/>
    <w:rsid w:val="00552FBD"/>
    <w:rsid w:val="00566CC9"/>
    <w:rsid w:val="00570225"/>
    <w:rsid w:val="005933D1"/>
    <w:rsid w:val="00593FED"/>
    <w:rsid w:val="005A4799"/>
    <w:rsid w:val="005B1F0A"/>
    <w:rsid w:val="005C24E9"/>
    <w:rsid w:val="005C70D8"/>
    <w:rsid w:val="005D20BF"/>
    <w:rsid w:val="005D5E31"/>
    <w:rsid w:val="005E4295"/>
    <w:rsid w:val="006207BF"/>
    <w:rsid w:val="00631A3C"/>
    <w:rsid w:val="00637807"/>
    <w:rsid w:val="0064431A"/>
    <w:rsid w:val="0065227A"/>
    <w:rsid w:val="00655515"/>
    <w:rsid w:val="006700FC"/>
    <w:rsid w:val="00672469"/>
    <w:rsid w:val="00683C5D"/>
    <w:rsid w:val="006917C5"/>
    <w:rsid w:val="0069432D"/>
    <w:rsid w:val="006A2D8E"/>
    <w:rsid w:val="006B3BF2"/>
    <w:rsid w:val="006E5018"/>
    <w:rsid w:val="006E72C0"/>
    <w:rsid w:val="00716E46"/>
    <w:rsid w:val="00720B01"/>
    <w:rsid w:val="007244D2"/>
    <w:rsid w:val="00725480"/>
    <w:rsid w:val="00737193"/>
    <w:rsid w:val="0076048A"/>
    <w:rsid w:val="00764349"/>
    <w:rsid w:val="007667C3"/>
    <w:rsid w:val="007877E5"/>
    <w:rsid w:val="007913A3"/>
    <w:rsid w:val="007B001B"/>
    <w:rsid w:val="007B100A"/>
    <w:rsid w:val="007B3262"/>
    <w:rsid w:val="007B3F05"/>
    <w:rsid w:val="007C0C62"/>
    <w:rsid w:val="007C41FD"/>
    <w:rsid w:val="007C5C37"/>
    <w:rsid w:val="007C5D22"/>
    <w:rsid w:val="007D542A"/>
    <w:rsid w:val="007F3ADF"/>
    <w:rsid w:val="007F43ED"/>
    <w:rsid w:val="007F7AD2"/>
    <w:rsid w:val="007F7F01"/>
    <w:rsid w:val="00835B9B"/>
    <w:rsid w:val="00835E6E"/>
    <w:rsid w:val="008409ED"/>
    <w:rsid w:val="008453FD"/>
    <w:rsid w:val="00871BF4"/>
    <w:rsid w:val="00881ECF"/>
    <w:rsid w:val="00892760"/>
    <w:rsid w:val="008A5380"/>
    <w:rsid w:val="008C0A7F"/>
    <w:rsid w:val="008C6CDB"/>
    <w:rsid w:val="008D0CE4"/>
    <w:rsid w:val="008D2374"/>
    <w:rsid w:val="008D34F1"/>
    <w:rsid w:val="008E68D6"/>
    <w:rsid w:val="008E7AA0"/>
    <w:rsid w:val="008F443E"/>
    <w:rsid w:val="008F4FA7"/>
    <w:rsid w:val="00951DA6"/>
    <w:rsid w:val="00954523"/>
    <w:rsid w:val="0097603E"/>
    <w:rsid w:val="00977FE9"/>
    <w:rsid w:val="00996017"/>
    <w:rsid w:val="009B0975"/>
    <w:rsid w:val="009B5AEA"/>
    <w:rsid w:val="009C1334"/>
    <w:rsid w:val="009D0729"/>
    <w:rsid w:val="009D74D2"/>
    <w:rsid w:val="009E3C0B"/>
    <w:rsid w:val="009F3F01"/>
    <w:rsid w:val="009F602B"/>
    <w:rsid w:val="00A06890"/>
    <w:rsid w:val="00A127BF"/>
    <w:rsid w:val="00A328CF"/>
    <w:rsid w:val="00A51CE5"/>
    <w:rsid w:val="00A57202"/>
    <w:rsid w:val="00A579A0"/>
    <w:rsid w:val="00A65FA3"/>
    <w:rsid w:val="00A87BC2"/>
    <w:rsid w:val="00A940B7"/>
    <w:rsid w:val="00AC2DF1"/>
    <w:rsid w:val="00AF222E"/>
    <w:rsid w:val="00AF39F0"/>
    <w:rsid w:val="00B00E2C"/>
    <w:rsid w:val="00B161FE"/>
    <w:rsid w:val="00B23714"/>
    <w:rsid w:val="00B331D6"/>
    <w:rsid w:val="00B37156"/>
    <w:rsid w:val="00B46B58"/>
    <w:rsid w:val="00B55F79"/>
    <w:rsid w:val="00B61F59"/>
    <w:rsid w:val="00B667C5"/>
    <w:rsid w:val="00B67A7F"/>
    <w:rsid w:val="00B71EB3"/>
    <w:rsid w:val="00B82041"/>
    <w:rsid w:val="00B97844"/>
    <w:rsid w:val="00BA5914"/>
    <w:rsid w:val="00BD3D08"/>
    <w:rsid w:val="00BE78A6"/>
    <w:rsid w:val="00BE7F9D"/>
    <w:rsid w:val="00BF7DEB"/>
    <w:rsid w:val="00C04DA3"/>
    <w:rsid w:val="00C06CF4"/>
    <w:rsid w:val="00C10669"/>
    <w:rsid w:val="00C11CF3"/>
    <w:rsid w:val="00C13A83"/>
    <w:rsid w:val="00C31A6B"/>
    <w:rsid w:val="00C33332"/>
    <w:rsid w:val="00C5093B"/>
    <w:rsid w:val="00C518AD"/>
    <w:rsid w:val="00C643A8"/>
    <w:rsid w:val="00C65907"/>
    <w:rsid w:val="00C75967"/>
    <w:rsid w:val="00C9015F"/>
    <w:rsid w:val="00CA6D8C"/>
    <w:rsid w:val="00CB3DB3"/>
    <w:rsid w:val="00CD5E97"/>
    <w:rsid w:val="00CE149E"/>
    <w:rsid w:val="00CE1C0D"/>
    <w:rsid w:val="00CE47E1"/>
    <w:rsid w:val="00CF2E1A"/>
    <w:rsid w:val="00D0565A"/>
    <w:rsid w:val="00D12B36"/>
    <w:rsid w:val="00D206DF"/>
    <w:rsid w:val="00D21431"/>
    <w:rsid w:val="00D4055C"/>
    <w:rsid w:val="00D8147B"/>
    <w:rsid w:val="00D81B07"/>
    <w:rsid w:val="00D863FF"/>
    <w:rsid w:val="00D9255A"/>
    <w:rsid w:val="00D94237"/>
    <w:rsid w:val="00DA012F"/>
    <w:rsid w:val="00DC1D70"/>
    <w:rsid w:val="00DE02C7"/>
    <w:rsid w:val="00DE251E"/>
    <w:rsid w:val="00DF3095"/>
    <w:rsid w:val="00E26CEA"/>
    <w:rsid w:val="00E3475D"/>
    <w:rsid w:val="00E42237"/>
    <w:rsid w:val="00E43326"/>
    <w:rsid w:val="00E53EAD"/>
    <w:rsid w:val="00E678F1"/>
    <w:rsid w:val="00E73862"/>
    <w:rsid w:val="00E74B2C"/>
    <w:rsid w:val="00E9304E"/>
    <w:rsid w:val="00E97743"/>
    <w:rsid w:val="00EA2F13"/>
    <w:rsid w:val="00EB3C07"/>
    <w:rsid w:val="00EC3F63"/>
    <w:rsid w:val="00EC740C"/>
    <w:rsid w:val="00EE00A5"/>
    <w:rsid w:val="00F06F3C"/>
    <w:rsid w:val="00F1702A"/>
    <w:rsid w:val="00F26D4E"/>
    <w:rsid w:val="00F411CB"/>
    <w:rsid w:val="00F506C3"/>
    <w:rsid w:val="00F52922"/>
    <w:rsid w:val="00F56423"/>
    <w:rsid w:val="00F57DBB"/>
    <w:rsid w:val="00F65F13"/>
    <w:rsid w:val="00F75491"/>
    <w:rsid w:val="00F9673B"/>
    <w:rsid w:val="00FA4649"/>
    <w:rsid w:val="00FB0E74"/>
    <w:rsid w:val="00FB1BD1"/>
    <w:rsid w:val="00FC00F3"/>
    <w:rsid w:val="00FC5B5C"/>
    <w:rsid w:val="00FF57E2"/>
    <w:rsid w:val="00FF5CD4"/>
    <w:rsid w:val="02AD602F"/>
    <w:rsid w:val="02AF00B3"/>
    <w:rsid w:val="02CE7EAB"/>
    <w:rsid w:val="03151AC3"/>
    <w:rsid w:val="06B17687"/>
    <w:rsid w:val="0860640D"/>
    <w:rsid w:val="0BF36FF7"/>
    <w:rsid w:val="0C364933"/>
    <w:rsid w:val="0C540555"/>
    <w:rsid w:val="0CE71176"/>
    <w:rsid w:val="0D7350F2"/>
    <w:rsid w:val="0FEB62E3"/>
    <w:rsid w:val="10527066"/>
    <w:rsid w:val="10C16F37"/>
    <w:rsid w:val="12750247"/>
    <w:rsid w:val="130B3D11"/>
    <w:rsid w:val="147C11FC"/>
    <w:rsid w:val="14B053A7"/>
    <w:rsid w:val="15190CCA"/>
    <w:rsid w:val="1539655D"/>
    <w:rsid w:val="153B386D"/>
    <w:rsid w:val="15F0183D"/>
    <w:rsid w:val="16940223"/>
    <w:rsid w:val="170008E4"/>
    <w:rsid w:val="181025D6"/>
    <w:rsid w:val="1A4816C0"/>
    <w:rsid w:val="1A4C6BBB"/>
    <w:rsid w:val="1C471301"/>
    <w:rsid w:val="1DC21729"/>
    <w:rsid w:val="1DCC4B11"/>
    <w:rsid w:val="1FA3511C"/>
    <w:rsid w:val="1FB05D3B"/>
    <w:rsid w:val="2114547D"/>
    <w:rsid w:val="222375F7"/>
    <w:rsid w:val="227F5EAB"/>
    <w:rsid w:val="2304780B"/>
    <w:rsid w:val="241369E2"/>
    <w:rsid w:val="249F0B72"/>
    <w:rsid w:val="25297BA2"/>
    <w:rsid w:val="258716CB"/>
    <w:rsid w:val="27760FF8"/>
    <w:rsid w:val="27C5207C"/>
    <w:rsid w:val="288A2A7D"/>
    <w:rsid w:val="28DD5895"/>
    <w:rsid w:val="291955C7"/>
    <w:rsid w:val="29E56E87"/>
    <w:rsid w:val="29F13054"/>
    <w:rsid w:val="2A763612"/>
    <w:rsid w:val="2AEF07D4"/>
    <w:rsid w:val="2E0E3CD2"/>
    <w:rsid w:val="2EB441D0"/>
    <w:rsid w:val="2F2A0283"/>
    <w:rsid w:val="32AA10B9"/>
    <w:rsid w:val="32E9567C"/>
    <w:rsid w:val="35FF5A86"/>
    <w:rsid w:val="36307512"/>
    <w:rsid w:val="36520928"/>
    <w:rsid w:val="36CC4C76"/>
    <w:rsid w:val="370016E2"/>
    <w:rsid w:val="38A1306C"/>
    <w:rsid w:val="39BA2A24"/>
    <w:rsid w:val="3A3C6C98"/>
    <w:rsid w:val="3A957C68"/>
    <w:rsid w:val="3B890113"/>
    <w:rsid w:val="3BDA5482"/>
    <w:rsid w:val="3C4A2BDA"/>
    <w:rsid w:val="3D7F5855"/>
    <w:rsid w:val="3DDE15E1"/>
    <w:rsid w:val="3DFF487C"/>
    <w:rsid w:val="3E612243"/>
    <w:rsid w:val="3E6664A4"/>
    <w:rsid w:val="3FF52BA4"/>
    <w:rsid w:val="40036ADB"/>
    <w:rsid w:val="42984D94"/>
    <w:rsid w:val="42DF3068"/>
    <w:rsid w:val="43B66D3F"/>
    <w:rsid w:val="43C74149"/>
    <w:rsid w:val="43CC6C26"/>
    <w:rsid w:val="452C451B"/>
    <w:rsid w:val="45D45D77"/>
    <w:rsid w:val="480E7249"/>
    <w:rsid w:val="486662B1"/>
    <w:rsid w:val="48DB0A9A"/>
    <w:rsid w:val="49197B3C"/>
    <w:rsid w:val="495070E8"/>
    <w:rsid w:val="49604A66"/>
    <w:rsid w:val="4BB20089"/>
    <w:rsid w:val="4C1A4DC8"/>
    <w:rsid w:val="4C6B4EF9"/>
    <w:rsid w:val="4CCB5754"/>
    <w:rsid w:val="4D026D32"/>
    <w:rsid w:val="4D2C74CB"/>
    <w:rsid w:val="4D9E569D"/>
    <w:rsid w:val="4FE64EF3"/>
    <w:rsid w:val="504A0E65"/>
    <w:rsid w:val="50675880"/>
    <w:rsid w:val="50C51AFA"/>
    <w:rsid w:val="51B9604E"/>
    <w:rsid w:val="53083639"/>
    <w:rsid w:val="539A53CE"/>
    <w:rsid w:val="53F0314D"/>
    <w:rsid w:val="54686BAD"/>
    <w:rsid w:val="5A7A1531"/>
    <w:rsid w:val="5B9E0AC4"/>
    <w:rsid w:val="5C040C64"/>
    <w:rsid w:val="5D2141E0"/>
    <w:rsid w:val="5D633F30"/>
    <w:rsid w:val="5E271827"/>
    <w:rsid w:val="5E797F0D"/>
    <w:rsid w:val="5F291774"/>
    <w:rsid w:val="5F31024D"/>
    <w:rsid w:val="5F43625E"/>
    <w:rsid w:val="5F6E2F1E"/>
    <w:rsid w:val="5FED1447"/>
    <w:rsid w:val="60FC3854"/>
    <w:rsid w:val="61DB24C0"/>
    <w:rsid w:val="62064B2C"/>
    <w:rsid w:val="62CA3B2A"/>
    <w:rsid w:val="62D30DE0"/>
    <w:rsid w:val="65462B98"/>
    <w:rsid w:val="66AA3B93"/>
    <w:rsid w:val="66F2063F"/>
    <w:rsid w:val="672D4B1D"/>
    <w:rsid w:val="678F5EDC"/>
    <w:rsid w:val="67B13784"/>
    <w:rsid w:val="67D60C4A"/>
    <w:rsid w:val="686B09A7"/>
    <w:rsid w:val="68850F92"/>
    <w:rsid w:val="68C838C6"/>
    <w:rsid w:val="692B73B5"/>
    <w:rsid w:val="6B2D53B2"/>
    <w:rsid w:val="6BC6086A"/>
    <w:rsid w:val="6C26114A"/>
    <w:rsid w:val="6D047463"/>
    <w:rsid w:val="6D213A0A"/>
    <w:rsid w:val="6D8C1240"/>
    <w:rsid w:val="6E242CF9"/>
    <w:rsid w:val="6EA63CD8"/>
    <w:rsid w:val="70FB7BFC"/>
    <w:rsid w:val="722828EB"/>
    <w:rsid w:val="72C055D8"/>
    <w:rsid w:val="74691543"/>
    <w:rsid w:val="74742163"/>
    <w:rsid w:val="75E959AD"/>
    <w:rsid w:val="7707072D"/>
    <w:rsid w:val="786D7646"/>
    <w:rsid w:val="78E95987"/>
    <w:rsid w:val="793C11AE"/>
    <w:rsid w:val="7A6F2CDF"/>
    <w:rsid w:val="7B0336F0"/>
    <w:rsid w:val="7B160A7A"/>
    <w:rsid w:val="7B2D19F1"/>
    <w:rsid w:val="7B3D24AE"/>
    <w:rsid w:val="7BA65465"/>
    <w:rsid w:val="7BF417FA"/>
    <w:rsid w:val="7C6B473E"/>
    <w:rsid w:val="7C9C3B46"/>
    <w:rsid w:val="7CC97171"/>
    <w:rsid w:val="7EC26F75"/>
    <w:rsid w:val="7F09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 w:val="32"/>
      <w:szCs w:val="32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福州市建筑设计院</Company>
  <Pages>2</Pages>
  <Words>898</Words>
  <Characters>307</Characters>
  <Lines>2</Lines>
  <Paragraphs>2</Paragraphs>
  <TotalTime>2</TotalTime>
  <ScaleCrop>false</ScaleCrop>
  <LinksUpToDate>false</LinksUpToDate>
  <CharactersWithSpaces>1203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2019-06-19T02:15:00Z</dcterms:created>
  <dc:creator>设备用户</dc:creator>
  <cp:lastModifiedBy>Admin</cp:lastModifiedBy>
  <dcterms:modified xsi:type="dcterms:W3CDTF">2022-03-02T03:32:17Z</dcterms:modified>
  <dc:title>福兴经济开发区提升改造项目C1地块</dc:title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6F969C2B48194765A7969A029361BA45</vt:lpwstr>
  </property>
</Properties>
</file>