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pPr>
      <w:bookmarkStart w:id="0" w:name="_Hlk521308631"/>
      <w:bookmarkEnd w:id="0"/>
    </w:p>
    <w:p>
      <w:pPr>
        <w:spacing w:after="312"/>
      </w:pPr>
    </w:p>
    <w:p>
      <w:pPr>
        <w:spacing w:after="312"/>
      </w:pPr>
    </w:p>
    <w:p>
      <w:pPr>
        <w:spacing w:afterLines="0" w:line="240" w:lineRule="auto"/>
        <w:jc w:val="center"/>
        <w:rPr>
          <w:rFonts w:eastAsia="黑体"/>
          <w:b/>
          <w:sz w:val="44"/>
          <w:szCs w:val="44"/>
        </w:rPr>
      </w:pPr>
      <w:r>
        <w:rPr>
          <w:rFonts w:hint="eastAsia" w:eastAsia="黑体"/>
          <w:b/>
          <w:sz w:val="44"/>
          <w:szCs w:val="44"/>
        </w:rPr>
        <w:t>福州市</w:t>
      </w:r>
      <w:bookmarkStart w:id="1" w:name="OLE_LINK12"/>
      <w:bookmarkStart w:id="2" w:name="OLE_LINK11"/>
      <w:r>
        <w:rPr>
          <w:rFonts w:hint="eastAsia" w:eastAsia="黑体"/>
          <w:b/>
          <w:sz w:val="44"/>
          <w:szCs w:val="44"/>
        </w:rPr>
        <w:t>城乡建设项目</w:t>
      </w:r>
      <w:bookmarkEnd w:id="1"/>
      <w:bookmarkEnd w:id="2"/>
      <w:r>
        <w:rPr>
          <w:rFonts w:hint="eastAsia" w:eastAsia="黑体"/>
          <w:b/>
          <w:sz w:val="44"/>
          <w:szCs w:val="44"/>
        </w:rPr>
        <w:t>生态环境保护修复技术导则（试行）</w:t>
      </w:r>
    </w:p>
    <w:p>
      <w:pPr>
        <w:spacing w:after="312" w:line="240" w:lineRule="auto"/>
        <w:jc w:val="center"/>
        <w:rPr>
          <w:rFonts w:eastAsia="黑体"/>
          <w:b/>
          <w:sz w:val="28"/>
          <w:szCs w:val="44"/>
        </w:rPr>
      </w:pPr>
      <w:r>
        <w:rPr>
          <w:rFonts w:eastAsia="黑体"/>
          <w:b/>
          <w:sz w:val="28"/>
          <w:szCs w:val="44"/>
        </w:rPr>
        <w:t xml:space="preserve">Technical Guidelines of </w:t>
      </w:r>
      <w:bookmarkStart w:id="3" w:name="OLE_LINK1"/>
      <w:r>
        <w:rPr>
          <w:rFonts w:eastAsia="黑体"/>
          <w:b/>
          <w:sz w:val="28"/>
          <w:szCs w:val="44"/>
        </w:rPr>
        <w:t>Ecological and Environmental Conservation</w:t>
      </w:r>
      <w:bookmarkEnd w:id="3"/>
      <w:r>
        <w:rPr>
          <w:rFonts w:eastAsia="黑体"/>
          <w:b/>
          <w:sz w:val="28"/>
          <w:szCs w:val="44"/>
        </w:rPr>
        <w:t xml:space="preserve"> of Construction Projects in Fuzhou</w:t>
      </w:r>
    </w:p>
    <w:p>
      <w:pPr>
        <w:spacing w:afterLines="0"/>
        <w:rPr>
          <w:rFonts w:eastAsia="黑体"/>
          <w:b/>
          <w:sz w:val="44"/>
          <w:szCs w:val="44"/>
        </w:rPr>
      </w:pPr>
    </w:p>
    <w:p>
      <w:pPr>
        <w:spacing w:afterLines="0"/>
      </w:pPr>
    </w:p>
    <w:p>
      <w:pPr>
        <w:spacing w:afterLines="0"/>
      </w:pPr>
    </w:p>
    <w:p>
      <w:pPr>
        <w:spacing w:afterLines="0"/>
      </w:pPr>
    </w:p>
    <w:p>
      <w:pPr>
        <w:spacing w:afterLines="0"/>
      </w:pPr>
    </w:p>
    <w:p>
      <w:pPr>
        <w:spacing w:afterLines="0"/>
      </w:pPr>
    </w:p>
    <w:p>
      <w:pPr>
        <w:spacing w:afterLines="0"/>
      </w:pPr>
    </w:p>
    <w:p>
      <w:pPr>
        <w:spacing w:afterLines="0"/>
      </w:pPr>
    </w:p>
    <w:p>
      <w:pPr>
        <w:spacing w:afterLines="0"/>
      </w:pPr>
    </w:p>
    <w:p>
      <w:pPr>
        <w:spacing w:afterLines="0"/>
      </w:pPr>
    </w:p>
    <w:p>
      <w:pPr>
        <w:spacing w:afterLines="0"/>
      </w:pPr>
    </w:p>
    <w:p>
      <w:pPr>
        <w:spacing w:afterLines="0"/>
      </w:pPr>
    </w:p>
    <w:p>
      <w:pPr>
        <w:spacing w:afterLines="0"/>
      </w:pPr>
    </w:p>
    <w:p>
      <w:pPr>
        <w:wordWrap w:val="0"/>
        <w:spacing w:after="156" w:afterLines="50"/>
        <w:jc w:val="right"/>
        <w:rPr>
          <w:rFonts w:eastAsia="黑体"/>
          <w:b/>
        </w:rPr>
      </w:pPr>
      <w:r>
        <w:rPr>
          <w:rFonts w:eastAsia="黑体"/>
          <w:b/>
        </w:rPr>
        <w:t>2019-</w:t>
      </w:r>
      <w:r>
        <w:rPr>
          <w:rFonts w:hint="eastAsia" w:eastAsia="黑体"/>
          <w:b/>
          <w:lang w:val="en-US" w:eastAsia="zh-CN"/>
        </w:rPr>
        <w:t>06</w:t>
      </w:r>
      <w:r>
        <w:rPr>
          <w:rFonts w:eastAsia="黑体"/>
          <w:b/>
        </w:rPr>
        <w:t>-</w:t>
      </w:r>
      <w:r>
        <mc:AlternateContent>
          <mc:Choice Requires="wps">
            <w:drawing>
              <wp:anchor distT="0" distB="0" distL="114300" distR="114300" simplePos="0" relativeHeight="251658240" behindDoc="0" locked="0" layoutInCell="1" allowOverlap="1">
                <wp:simplePos x="0" y="0"/>
                <wp:positionH relativeFrom="column">
                  <wp:posOffset>-37465</wp:posOffset>
                </wp:positionH>
                <wp:positionV relativeFrom="paragraph">
                  <wp:posOffset>348615</wp:posOffset>
                </wp:positionV>
                <wp:extent cx="5343525" cy="0"/>
                <wp:effectExtent l="19685" t="14605" r="18415" b="13970"/>
                <wp:wrapNone/>
                <wp:docPr id="1" name="直接连接符 1"/>
                <wp:cNvGraphicFramePr/>
                <a:graphic xmlns:a="http://schemas.openxmlformats.org/drawingml/2006/main">
                  <a:graphicData uri="http://schemas.microsoft.com/office/word/2010/wordprocessingShape">
                    <wps:wsp>
                      <wps:cNvCnPr/>
                      <wps:spPr bwMode="auto">
                        <a:xfrm>
                          <a:off x="0" y="0"/>
                          <a:ext cx="5343525" cy="0"/>
                        </a:xfrm>
                        <a:prstGeom prst="line">
                          <a:avLst/>
                        </a:prstGeom>
                        <a:noFill/>
                        <a:ln w="22225">
                          <a:solidFill>
                            <a:srgbClr val="000000"/>
                          </a:solidFill>
                          <a:round/>
                        </a:ln>
                      </wps:spPr>
                      <wps:bodyPr/>
                    </wps:wsp>
                  </a:graphicData>
                </a:graphic>
              </wp:anchor>
            </w:drawing>
          </mc:Choice>
          <mc:Fallback>
            <w:pict>
              <v:line id="_x0000_s1026" o:spid="_x0000_s1026" o:spt="20" style="position:absolute;left:0pt;margin-left:-2.95pt;margin-top:27.45pt;height:0pt;width:420.75pt;z-index:251658240;mso-width-relative:page;mso-height-relative:page;" filled="f" stroked="t" coordsize="21600,21600" o:gfxdata="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BnDNdcAAAAI&#10;AQAADwAAAAAAAAABACAAAAAiAAAAZHJzL2Rvd25yZXYueG1sUEsBAhQAFAAAAAgAh07iQCRaAPur&#10;AQAAKwMAAA4AAAAAAAAAAQAgAAAAJgEAAGRycy9lMm9Eb2MueG1sUEsFBgAAAAAGAAYAWQEAAEMF&#10;AAAAAA==&#10;">
                <v:fill on="f" focussize="0,0"/>
                <v:stroke weight="1.75pt" color="#000000" joinstyle="round"/>
                <v:imagedata o:title=""/>
                <o:lock v:ext="edit" aspectratio="f"/>
              </v:line>
            </w:pict>
          </mc:Fallback>
        </mc:AlternateContent>
      </w:r>
      <w:r>
        <w:rPr>
          <w:rFonts w:hint="eastAsia" w:eastAsia="黑体"/>
          <w:b/>
          <w:lang w:val="en-US" w:eastAsia="zh-CN"/>
        </w:rPr>
        <w:t>11</w:t>
      </w:r>
      <w:r>
        <w:rPr>
          <w:rFonts w:hint="eastAsia" w:eastAsia="黑体"/>
          <w:b/>
        </w:rPr>
        <w:t xml:space="preserve">发布 </w:t>
      </w:r>
      <w:r>
        <w:rPr>
          <w:rFonts w:eastAsia="黑体"/>
          <w:b/>
        </w:rPr>
        <w:t xml:space="preserve">                                        2019-</w:t>
      </w:r>
      <w:r>
        <w:rPr>
          <w:rFonts w:hint="eastAsia" w:eastAsia="黑体"/>
          <w:b/>
          <w:lang w:val="en-US" w:eastAsia="zh-CN"/>
        </w:rPr>
        <w:t>06</w:t>
      </w:r>
      <w:r>
        <w:rPr>
          <w:rFonts w:eastAsia="黑体"/>
          <w:b/>
        </w:rPr>
        <w:t>-</w:t>
      </w:r>
      <w:r>
        <w:rPr>
          <w:rFonts w:hint="eastAsia" w:eastAsia="黑体"/>
          <w:b/>
          <w:lang w:val="en-US" w:eastAsia="zh-CN"/>
        </w:rPr>
        <w:t>11</w:t>
      </w:r>
      <w:r>
        <w:rPr>
          <w:rFonts w:hint="eastAsia" w:eastAsia="黑体"/>
          <w:b/>
        </w:rPr>
        <w:t>实施</w:t>
      </w:r>
    </w:p>
    <w:p>
      <w:pPr>
        <w:spacing w:after="312"/>
        <w:jc w:val="center"/>
        <w:rPr>
          <w:rFonts w:eastAsia="黑体"/>
          <w:b/>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eastAsia="黑体"/>
          <w:b/>
          <w:sz w:val="28"/>
        </w:rPr>
        <w:t>福州市城乡建设局 发布</w:t>
      </w:r>
    </w:p>
    <w:p>
      <w:pPr>
        <w:spacing w:after="312"/>
        <w:jc w:val="center"/>
        <w:rPr>
          <w:rFonts w:eastAsia="黑体"/>
          <w:b/>
          <w:sz w:val="32"/>
          <w:szCs w:val="32"/>
        </w:rPr>
      </w:pPr>
      <w:r>
        <w:rPr>
          <w:rFonts w:hint="eastAsia" w:eastAsia="黑体"/>
          <w:b/>
          <w:sz w:val="32"/>
          <w:szCs w:val="32"/>
        </w:rPr>
        <w:t>前</w:t>
      </w:r>
      <w:r>
        <w:rPr>
          <w:rFonts w:eastAsia="黑体"/>
          <w:b/>
          <w:sz w:val="32"/>
          <w:szCs w:val="32"/>
        </w:rPr>
        <w:t xml:space="preserve">  </w:t>
      </w:r>
      <w:r>
        <w:rPr>
          <w:rFonts w:hint="eastAsia" w:eastAsia="黑体"/>
          <w:b/>
          <w:sz w:val="32"/>
          <w:szCs w:val="32"/>
        </w:rPr>
        <w:t>言</w:t>
      </w:r>
    </w:p>
    <w:p>
      <w:pPr>
        <w:spacing w:afterLines="0"/>
        <w:ind w:firstLine="480" w:firstLineChars="200"/>
      </w:pPr>
      <w:r>
        <w:rPr>
          <w:rFonts w:hint="eastAsia"/>
        </w:rPr>
        <w:t>为加强建设项目建设过程中的环保监督管理，确保生态环境得到有效保护，编制本导则。</w:t>
      </w:r>
    </w:p>
    <w:p>
      <w:pPr>
        <w:spacing w:afterLines="0"/>
        <w:ind w:firstLine="480" w:firstLineChars="200"/>
      </w:pPr>
      <w:r>
        <w:rPr>
          <w:rFonts w:hint="eastAsia"/>
        </w:rPr>
        <w:t>导则在编制过程中，编制组经调查研究，认真总结经验，参考有关国家和行业标准，借鉴相关成果，并在广泛征求意见的基础上，最终经审查定稿。</w:t>
      </w:r>
    </w:p>
    <w:p>
      <w:pPr>
        <w:spacing w:afterLines="0"/>
        <w:ind w:firstLine="480" w:firstLineChars="200"/>
      </w:pPr>
      <w:r>
        <w:rPr>
          <w:rFonts w:hint="eastAsia"/>
        </w:rPr>
        <w:t>本导则共分</w:t>
      </w:r>
      <w:r>
        <w:t>7</w:t>
      </w:r>
      <w:r>
        <w:rPr>
          <w:rFonts w:hint="eastAsia"/>
        </w:rPr>
        <w:t>章，主要技术内容包括：总则、规范性引用文件、术语、基本规定、建筑工程、道路工程、河湖工程。</w:t>
      </w:r>
    </w:p>
    <w:p>
      <w:pPr>
        <w:spacing w:after="312"/>
        <w:jc w:val="center"/>
        <w:rPr>
          <w:rFonts w:eastAsia="黑体"/>
          <w:b/>
          <w:sz w:val="32"/>
          <w:szCs w:val="32"/>
        </w:rPr>
      </w:pPr>
    </w:p>
    <w:p>
      <w:pPr>
        <w:spacing w:after="312"/>
        <w:jc w:val="center"/>
        <w:sectPr>
          <w:pgSz w:w="11906" w:h="16838"/>
          <w:pgMar w:top="1440" w:right="1800" w:bottom="1440" w:left="1800" w:header="851" w:footer="992" w:gutter="0"/>
          <w:cols w:space="425" w:num="1"/>
          <w:docGrid w:type="lines" w:linePitch="312" w:charSpace="0"/>
        </w:sectPr>
      </w:pPr>
    </w:p>
    <w:p>
      <w:pPr>
        <w:spacing w:after="312"/>
        <w:jc w:val="center"/>
        <w:rPr>
          <w:rFonts w:eastAsia="黑体"/>
          <w:b/>
          <w:sz w:val="32"/>
          <w:szCs w:val="32"/>
        </w:rPr>
      </w:pPr>
      <w:r>
        <w:rPr>
          <w:rFonts w:hint="eastAsia" w:eastAsia="黑体"/>
          <w:b/>
          <w:sz w:val="32"/>
          <w:szCs w:val="32"/>
        </w:rPr>
        <w:t>目</w:t>
      </w:r>
      <w:r>
        <w:rPr>
          <w:rFonts w:eastAsia="黑体"/>
          <w:b/>
          <w:sz w:val="32"/>
          <w:szCs w:val="32"/>
        </w:rPr>
        <w:t xml:space="preserve">  </w:t>
      </w:r>
      <w:r>
        <w:rPr>
          <w:rFonts w:hint="eastAsia" w:eastAsia="黑体"/>
          <w:b/>
          <w:sz w:val="32"/>
          <w:szCs w:val="32"/>
        </w:rPr>
        <w:t>次</w:t>
      </w:r>
    </w:p>
    <w:p>
      <w:pPr>
        <w:pStyle w:val="11"/>
        <w:rPr>
          <w:rFonts w:asciiTheme="minorHAnsi" w:hAnsiTheme="minorHAnsi" w:eastAsiaTheme="minorEastAsia" w:cstheme="minorBidi"/>
          <w:b w:val="0"/>
          <w:sz w:val="21"/>
          <w:szCs w:val="22"/>
        </w:rPr>
      </w:pPr>
      <w:r>
        <w:rPr>
          <w:rFonts w:eastAsia="黑体"/>
          <w:sz w:val="32"/>
          <w:szCs w:val="32"/>
        </w:rPr>
        <w:fldChar w:fldCharType="begin"/>
      </w:r>
      <w:r>
        <w:rPr>
          <w:rFonts w:eastAsia="黑体"/>
          <w:sz w:val="32"/>
          <w:szCs w:val="32"/>
        </w:rPr>
        <w:instrText xml:space="preserve"> </w:instrText>
      </w:r>
      <w:r>
        <w:rPr>
          <w:rFonts w:hint="eastAsia" w:eastAsia="黑体"/>
          <w:sz w:val="32"/>
          <w:szCs w:val="32"/>
        </w:rPr>
        <w:instrText xml:space="preserve">TOC \o "1-2" \h \z \u</w:instrText>
      </w:r>
      <w:r>
        <w:rPr>
          <w:rFonts w:eastAsia="黑体"/>
          <w:sz w:val="32"/>
          <w:szCs w:val="32"/>
        </w:rPr>
        <w:instrText xml:space="preserve"> </w:instrText>
      </w:r>
      <w:r>
        <w:rPr>
          <w:rFonts w:eastAsia="黑体"/>
          <w:sz w:val="32"/>
          <w:szCs w:val="32"/>
        </w:rPr>
        <w:fldChar w:fldCharType="separate"/>
      </w:r>
      <w:r>
        <w:fldChar w:fldCharType="begin"/>
      </w:r>
      <w:r>
        <w:instrText xml:space="preserve"> HYPERLINK \l "_Toc5809697" </w:instrText>
      </w:r>
      <w:r>
        <w:fldChar w:fldCharType="separate"/>
      </w:r>
      <w:r>
        <w:rPr>
          <w:rStyle w:val="17"/>
          <w:color w:val="auto"/>
        </w:rPr>
        <w:t>1</w:t>
      </w:r>
      <w:r>
        <w:rPr>
          <w:rFonts w:asciiTheme="minorHAnsi" w:hAnsiTheme="minorHAnsi" w:eastAsiaTheme="minorEastAsia" w:cstheme="minorBidi"/>
          <w:b w:val="0"/>
          <w:sz w:val="21"/>
          <w:szCs w:val="22"/>
        </w:rPr>
        <w:tab/>
      </w:r>
      <w:r>
        <w:rPr>
          <w:rStyle w:val="17"/>
          <w:color w:val="auto"/>
        </w:rPr>
        <w:t>总  则</w:t>
      </w:r>
      <w:r>
        <w:tab/>
      </w:r>
      <w:r>
        <w:fldChar w:fldCharType="begin"/>
      </w:r>
      <w:r>
        <w:instrText xml:space="preserve"> PAGEREF _Toc5809697 \h </w:instrText>
      </w:r>
      <w:r>
        <w:fldChar w:fldCharType="separate"/>
      </w:r>
      <w:r>
        <w:t>1</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"_Toc5809698" </w:instrText>
      </w:r>
      <w:r>
        <w:fldChar w:fldCharType="separate"/>
      </w:r>
      <w:r>
        <w:rPr>
          <w:rStyle w:val="17"/>
          <w:color w:val="auto"/>
        </w:rPr>
        <w:t>2</w:t>
      </w:r>
      <w:r>
        <w:rPr>
          <w:rFonts w:asciiTheme="minorHAnsi" w:hAnsiTheme="minorHAnsi" w:eastAsiaTheme="minorEastAsia" w:cstheme="minorBidi"/>
          <w:b w:val="0"/>
          <w:sz w:val="21"/>
          <w:szCs w:val="22"/>
        </w:rPr>
        <w:tab/>
      </w:r>
      <w:r>
        <w:rPr>
          <w:rStyle w:val="17"/>
          <w:color w:val="auto"/>
        </w:rPr>
        <w:t>规范性引用文件</w:t>
      </w:r>
      <w:r>
        <w:tab/>
      </w:r>
      <w:r>
        <w:fldChar w:fldCharType="begin"/>
      </w:r>
      <w:r>
        <w:instrText xml:space="preserve"> PAGEREF _Toc5809698 \h </w:instrText>
      </w:r>
      <w:r>
        <w:fldChar w:fldCharType="separate"/>
      </w:r>
      <w:r>
        <w:t>2</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"_Toc5809699" </w:instrText>
      </w:r>
      <w:r>
        <w:fldChar w:fldCharType="separate"/>
      </w:r>
      <w:r>
        <w:rPr>
          <w:rStyle w:val="17"/>
          <w:color w:val="auto"/>
        </w:rPr>
        <w:t>3</w:t>
      </w:r>
      <w:r>
        <w:rPr>
          <w:rFonts w:asciiTheme="minorHAnsi" w:hAnsiTheme="minorHAnsi" w:eastAsiaTheme="minorEastAsia" w:cstheme="minorBidi"/>
          <w:b w:val="0"/>
          <w:sz w:val="21"/>
          <w:szCs w:val="22"/>
        </w:rPr>
        <w:tab/>
      </w:r>
      <w:r>
        <w:rPr>
          <w:rStyle w:val="17"/>
          <w:color w:val="auto"/>
        </w:rPr>
        <w:t>术语</w:t>
      </w:r>
      <w:r>
        <w:tab/>
      </w:r>
      <w:r>
        <w:fldChar w:fldCharType="begin"/>
      </w:r>
      <w:r>
        <w:instrText xml:space="preserve"> PAGEREF _Toc5809699 \h </w:instrText>
      </w:r>
      <w:r>
        <w:fldChar w:fldCharType="separate"/>
      </w:r>
      <w:r>
        <w:t>3</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"_Toc5809700" </w:instrText>
      </w:r>
      <w:r>
        <w:fldChar w:fldCharType="separate"/>
      </w:r>
      <w:r>
        <w:rPr>
          <w:rStyle w:val="17"/>
          <w:color w:val="auto"/>
        </w:rPr>
        <w:t>4</w:t>
      </w:r>
      <w:r>
        <w:rPr>
          <w:rFonts w:asciiTheme="minorHAnsi" w:hAnsiTheme="minorHAnsi" w:eastAsiaTheme="minorEastAsia" w:cstheme="minorBidi"/>
          <w:b w:val="0"/>
          <w:sz w:val="21"/>
          <w:szCs w:val="22"/>
        </w:rPr>
        <w:tab/>
      </w:r>
      <w:r>
        <w:rPr>
          <w:rStyle w:val="17"/>
          <w:color w:val="auto"/>
        </w:rPr>
        <w:t>基本规定</w:t>
      </w:r>
      <w:r>
        <w:tab/>
      </w:r>
      <w:r>
        <w:fldChar w:fldCharType="begin"/>
      </w:r>
      <w:r>
        <w:instrText xml:space="preserve"> PAGEREF _Toc5809700 \h </w:instrText>
      </w:r>
      <w:r>
        <w:fldChar w:fldCharType="separate"/>
      </w:r>
      <w:r>
        <w:t>4</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"_Toc5809701" </w:instrText>
      </w:r>
      <w:r>
        <w:fldChar w:fldCharType="separate"/>
      </w:r>
      <w:r>
        <w:rPr>
          <w:rStyle w:val="17"/>
          <w:color w:val="auto"/>
        </w:rPr>
        <w:t>5</w:t>
      </w:r>
      <w:r>
        <w:rPr>
          <w:rFonts w:asciiTheme="minorHAnsi" w:hAnsiTheme="minorHAnsi" w:eastAsiaTheme="minorEastAsia" w:cstheme="minorBidi"/>
          <w:b w:val="0"/>
          <w:sz w:val="21"/>
          <w:szCs w:val="22"/>
        </w:rPr>
        <w:tab/>
      </w:r>
      <w:r>
        <w:rPr>
          <w:rStyle w:val="17"/>
          <w:color w:val="auto"/>
        </w:rPr>
        <w:t>建筑工程</w:t>
      </w:r>
      <w:r>
        <w:tab/>
      </w:r>
      <w:r>
        <w:fldChar w:fldCharType="begin"/>
      </w:r>
      <w:r>
        <w:instrText xml:space="preserve"> PAGEREF _Toc5809701 \h </w:instrText>
      </w:r>
      <w:r>
        <w:fldChar w:fldCharType="separate"/>
      </w:r>
      <w:r>
        <w:t>6</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"_Toc5809702" </w:instrText>
      </w:r>
      <w:r>
        <w:fldChar w:fldCharType="separate"/>
      </w:r>
      <w:r>
        <w:rPr>
          <w:rStyle w:val="17"/>
          <w:color w:val="auto"/>
        </w:rPr>
        <w:t>5.1</w:t>
      </w:r>
      <w:r>
        <w:rPr>
          <w:rFonts w:asciiTheme="minorHAnsi" w:hAnsiTheme="minorHAnsi" w:eastAsiaTheme="minorEastAsia" w:cstheme="minorBidi"/>
          <w:sz w:val="21"/>
          <w:szCs w:val="22"/>
        </w:rPr>
        <w:tab/>
      </w:r>
      <w:r>
        <w:rPr>
          <w:rStyle w:val="17"/>
          <w:color w:val="auto"/>
        </w:rPr>
        <w:t>施工现场布置管理</w:t>
      </w:r>
      <w:r>
        <w:tab/>
      </w:r>
      <w:r>
        <w:fldChar w:fldCharType="begin"/>
      </w:r>
      <w:r>
        <w:instrText xml:space="preserve"> PAGEREF _Toc5809702 \h </w:instrText>
      </w:r>
      <w:r>
        <w:fldChar w:fldCharType="separate"/>
      </w:r>
      <w:r>
        <w:t>6</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"_Toc5809703" </w:instrText>
      </w:r>
      <w:r>
        <w:fldChar w:fldCharType="separate"/>
      </w:r>
      <w:r>
        <w:rPr>
          <w:rStyle w:val="17"/>
          <w:color w:val="auto"/>
        </w:rPr>
        <w:t>5.2</w:t>
      </w:r>
      <w:r>
        <w:rPr>
          <w:rFonts w:asciiTheme="minorHAnsi" w:hAnsiTheme="minorHAnsi" w:eastAsiaTheme="minorEastAsia" w:cstheme="minorBidi"/>
          <w:sz w:val="21"/>
          <w:szCs w:val="22"/>
        </w:rPr>
        <w:tab/>
      </w:r>
      <w:r>
        <w:rPr>
          <w:rStyle w:val="17"/>
          <w:color w:val="auto"/>
        </w:rPr>
        <w:t>建筑施工垃圾控制</w:t>
      </w:r>
      <w:r>
        <w:tab/>
      </w:r>
      <w:r>
        <w:fldChar w:fldCharType="begin"/>
      </w:r>
      <w:r>
        <w:instrText xml:space="preserve"> PAGEREF _Toc5809703 \h </w:instrText>
      </w:r>
      <w:r>
        <w:fldChar w:fldCharType="separate"/>
      </w:r>
      <w:r>
        <w:t>13</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"_Toc5809704" </w:instrText>
      </w:r>
      <w:r>
        <w:fldChar w:fldCharType="separate"/>
      </w:r>
      <w:r>
        <w:rPr>
          <w:rStyle w:val="17"/>
          <w:color w:val="auto"/>
        </w:rPr>
        <w:t>5.3</w:t>
      </w:r>
      <w:r>
        <w:rPr>
          <w:rFonts w:asciiTheme="minorHAnsi" w:hAnsiTheme="minorHAnsi" w:eastAsiaTheme="minorEastAsia" w:cstheme="minorBidi"/>
          <w:sz w:val="21"/>
          <w:szCs w:val="22"/>
        </w:rPr>
        <w:tab/>
      </w:r>
      <w:r>
        <w:rPr>
          <w:rStyle w:val="17"/>
          <w:color w:val="auto"/>
        </w:rPr>
        <w:t>水污染防治</w:t>
      </w:r>
      <w:r>
        <w:tab/>
      </w:r>
      <w:r>
        <w:fldChar w:fldCharType="begin"/>
      </w:r>
      <w:r>
        <w:instrText xml:space="preserve"> PAGEREF _Toc5809704 \h </w:instrText>
      </w:r>
      <w:r>
        <w:fldChar w:fldCharType="separate"/>
      </w:r>
      <w:r>
        <w:t>14</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"_Toc5809705" </w:instrText>
      </w:r>
      <w:r>
        <w:fldChar w:fldCharType="separate"/>
      </w:r>
      <w:r>
        <w:rPr>
          <w:rStyle w:val="17"/>
          <w:color w:val="auto"/>
        </w:rPr>
        <w:t>5.4</w:t>
      </w:r>
      <w:r>
        <w:rPr>
          <w:rFonts w:asciiTheme="minorHAnsi" w:hAnsiTheme="minorHAnsi" w:eastAsiaTheme="minorEastAsia" w:cstheme="minorBidi"/>
          <w:sz w:val="21"/>
          <w:szCs w:val="22"/>
        </w:rPr>
        <w:tab/>
      </w:r>
      <w:r>
        <w:rPr>
          <w:rStyle w:val="17"/>
          <w:color w:val="auto"/>
        </w:rPr>
        <w:t>扬尘防治</w:t>
      </w:r>
      <w:r>
        <w:tab/>
      </w:r>
      <w:r>
        <w:fldChar w:fldCharType="begin"/>
      </w:r>
      <w:r>
        <w:instrText xml:space="preserve"> PAGEREF _Toc5809705 \h </w:instrText>
      </w:r>
      <w:r>
        <w:fldChar w:fldCharType="separate"/>
      </w:r>
      <w:r>
        <w:t>15</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"_Toc5809706" </w:instrText>
      </w:r>
      <w:r>
        <w:fldChar w:fldCharType="separate"/>
      </w:r>
      <w:r>
        <w:rPr>
          <w:rStyle w:val="17"/>
          <w:color w:val="auto"/>
        </w:rPr>
        <w:t>5.5</w:t>
      </w:r>
      <w:r>
        <w:rPr>
          <w:rFonts w:asciiTheme="minorHAnsi" w:hAnsiTheme="minorHAnsi" w:eastAsiaTheme="minorEastAsia" w:cstheme="minorBidi"/>
          <w:sz w:val="21"/>
          <w:szCs w:val="22"/>
        </w:rPr>
        <w:tab/>
      </w:r>
      <w:r>
        <w:rPr>
          <w:rStyle w:val="17"/>
          <w:color w:val="auto"/>
        </w:rPr>
        <w:t>噪声防治</w:t>
      </w:r>
      <w:r>
        <w:tab/>
      </w:r>
      <w:r>
        <w:fldChar w:fldCharType="begin"/>
      </w:r>
      <w:r>
        <w:instrText xml:space="preserve"> PAGEREF _Toc5809706 \h </w:instrText>
      </w:r>
      <w:r>
        <w:fldChar w:fldCharType="separate"/>
      </w:r>
      <w:r>
        <w:t>19</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"_Toc5809707" </w:instrText>
      </w:r>
      <w:r>
        <w:fldChar w:fldCharType="separate"/>
      </w:r>
      <w:r>
        <w:rPr>
          <w:rStyle w:val="17"/>
          <w:color w:val="auto"/>
        </w:rPr>
        <w:t>5.6</w:t>
      </w:r>
      <w:r>
        <w:rPr>
          <w:rFonts w:asciiTheme="minorHAnsi" w:hAnsiTheme="minorHAnsi" w:eastAsiaTheme="minorEastAsia" w:cstheme="minorBidi"/>
          <w:sz w:val="21"/>
          <w:szCs w:val="22"/>
        </w:rPr>
        <w:tab/>
      </w:r>
      <w:r>
        <w:rPr>
          <w:rStyle w:val="17"/>
          <w:color w:val="auto"/>
        </w:rPr>
        <w:t>光污染控制</w:t>
      </w:r>
      <w:r>
        <w:tab/>
      </w:r>
      <w:r>
        <w:fldChar w:fldCharType="begin"/>
      </w:r>
      <w:r>
        <w:instrText xml:space="preserve"> PAGEREF _Toc5809707 \h </w:instrText>
      </w:r>
      <w:r>
        <w:fldChar w:fldCharType="separate"/>
      </w:r>
      <w:r>
        <w:t>21</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"_Toc5809708" </w:instrText>
      </w:r>
      <w:r>
        <w:fldChar w:fldCharType="separate"/>
      </w:r>
      <w:r>
        <w:rPr>
          <w:rStyle w:val="17"/>
          <w:color w:val="auto"/>
        </w:rPr>
        <w:t>5.7</w:t>
      </w:r>
      <w:r>
        <w:rPr>
          <w:rFonts w:asciiTheme="minorHAnsi" w:hAnsiTheme="minorHAnsi" w:eastAsiaTheme="minorEastAsia" w:cstheme="minorBidi"/>
          <w:sz w:val="21"/>
          <w:szCs w:val="22"/>
        </w:rPr>
        <w:tab/>
      </w:r>
      <w:r>
        <w:rPr>
          <w:rStyle w:val="17"/>
          <w:color w:val="auto"/>
        </w:rPr>
        <w:t>闲置裸露土地整治</w:t>
      </w:r>
      <w:r>
        <w:tab/>
      </w:r>
      <w:r>
        <w:fldChar w:fldCharType="begin"/>
      </w:r>
      <w:r>
        <w:instrText xml:space="preserve"> PAGEREF _Toc5809708 \h </w:instrText>
      </w:r>
      <w:r>
        <w:fldChar w:fldCharType="separate"/>
      </w:r>
      <w:r>
        <w:t>22</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"_Toc5809709" </w:instrText>
      </w:r>
      <w:r>
        <w:fldChar w:fldCharType="separate"/>
      </w:r>
      <w:r>
        <w:rPr>
          <w:rStyle w:val="17"/>
          <w:color w:val="auto"/>
        </w:rPr>
        <w:t>5.8</w:t>
      </w:r>
      <w:r>
        <w:rPr>
          <w:rFonts w:asciiTheme="minorHAnsi" w:hAnsiTheme="minorHAnsi" w:eastAsiaTheme="minorEastAsia" w:cstheme="minorBidi"/>
          <w:sz w:val="21"/>
          <w:szCs w:val="22"/>
        </w:rPr>
        <w:tab/>
      </w:r>
      <w:r>
        <w:rPr>
          <w:rStyle w:val="17"/>
          <w:color w:val="auto"/>
        </w:rPr>
        <w:t>机械设备与机具</w:t>
      </w:r>
      <w:r>
        <w:tab/>
      </w:r>
      <w:r>
        <w:fldChar w:fldCharType="begin"/>
      </w:r>
      <w:r>
        <w:instrText xml:space="preserve"> PAGEREF _Toc5809709 \h </w:instrText>
      </w:r>
      <w:r>
        <w:fldChar w:fldCharType="separate"/>
      </w:r>
      <w:r>
        <w:t>25</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"_Toc5809710" </w:instrText>
      </w:r>
      <w:r>
        <w:fldChar w:fldCharType="separate"/>
      </w:r>
      <w:r>
        <w:rPr>
          <w:rStyle w:val="17"/>
          <w:color w:val="auto"/>
        </w:rPr>
        <w:t>6</w:t>
      </w:r>
      <w:r>
        <w:rPr>
          <w:rFonts w:asciiTheme="minorHAnsi" w:hAnsiTheme="minorHAnsi" w:eastAsiaTheme="minorEastAsia" w:cstheme="minorBidi"/>
          <w:b w:val="0"/>
          <w:sz w:val="21"/>
          <w:szCs w:val="22"/>
        </w:rPr>
        <w:tab/>
      </w:r>
      <w:r>
        <w:rPr>
          <w:rStyle w:val="17"/>
          <w:color w:val="auto"/>
        </w:rPr>
        <w:t>道路桥梁工程</w:t>
      </w:r>
      <w:r>
        <w:tab/>
      </w:r>
      <w:r>
        <w:fldChar w:fldCharType="begin"/>
      </w:r>
      <w:r>
        <w:instrText xml:space="preserve"> PAGEREF _Toc5809710 \h </w:instrText>
      </w:r>
      <w:r>
        <w:fldChar w:fldCharType="separate"/>
      </w:r>
      <w:r>
        <w:t>27</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"_Toc5809711" </w:instrText>
      </w:r>
      <w:r>
        <w:fldChar w:fldCharType="separate"/>
      </w:r>
      <w:r>
        <w:rPr>
          <w:rStyle w:val="17"/>
          <w:color w:val="auto"/>
        </w:rPr>
        <w:t>6.1</w:t>
      </w:r>
      <w:r>
        <w:rPr>
          <w:rFonts w:asciiTheme="minorHAnsi" w:hAnsiTheme="minorHAnsi" w:eastAsiaTheme="minorEastAsia" w:cstheme="minorBidi"/>
          <w:sz w:val="21"/>
          <w:szCs w:val="22"/>
        </w:rPr>
        <w:tab/>
      </w:r>
      <w:r>
        <w:rPr>
          <w:rStyle w:val="17"/>
          <w:color w:val="auto"/>
        </w:rPr>
        <w:t>设计阶段环保措施</w:t>
      </w:r>
      <w:r>
        <w:tab/>
      </w:r>
      <w:r>
        <w:fldChar w:fldCharType="begin"/>
      </w:r>
      <w:r>
        <w:instrText xml:space="preserve"> PAGEREF _Toc5809711 \h </w:instrText>
      </w:r>
      <w:r>
        <w:fldChar w:fldCharType="separate"/>
      </w:r>
      <w:r>
        <w:t>27</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"_Toc5809712" </w:instrText>
      </w:r>
      <w:r>
        <w:fldChar w:fldCharType="separate"/>
      </w:r>
      <w:r>
        <w:rPr>
          <w:rStyle w:val="17"/>
          <w:color w:val="auto"/>
        </w:rPr>
        <w:t>6.2</w:t>
      </w:r>
      <w:r>
        <w:rPr>
          <w:rFonts w:asciiTheme="minorHAnsi" w:hAnsiTheme="minorHAnsi" w:eastAsiaTheme="minorEastAsia" w:cstheme="minorBidi"/>
          <w:sz w:val="21"/>
          <w:szCs w:val="22"/>
        </w:rPr>
        <w:tab/>
      </w:r>
      <w:r>
        <w:rPr>
          <w:rStyle w:val="17"/>
          <w:color w:val="auto"/>
        </w:rPr>
        <w:t>临时道路及施工运输</w:t>
      </w:r>
      <w:r>
        <w:tab/>
      </w:r>
      <w:r>
        <w:fldChar w:fldCharType="begin"/>
      </w:r>
      <w:r>
        <w:instrText xml:space="preserve"> PAGEREF _Toc5809712 \h </w:instrText>
      </w:r>
      <w:r>
        <w:fldChar w:fldCharType="separate"/>
      </w:r>
      <w:r>
        <w:t>27</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"_Toc5809713" </w:instrText>
      </w:r>
      <w:r>
        <w:fldChar w:fldCharType="separate"/>
      </w:r>
      <w:r>
        <w:rPr>
          <w:rStyle w:val="17"/>
          <w:color w:val="auto"/>
        </w:rPr>
        <w:t>6.3</w:t>
      </w:r>
      <w:r>
        <w:rPr>
          <w:rFonts w:asciiTheme="minorHAnsi" w:hAnsiTheme="minorHAnsi" w:eastAsiaTheme="minorEastAsia" w:cstheme="minorBidi"/>
          <w:sz w:val="21"/>
          <w:szCs w:val="22"/>
        </w:rPr>
        <w:tab/>
      </w:r>
      <w:r>
        <w:rPr>
          <w:rStyle w:val="17"/>
          <w:color w:val="auto"/>
        </w:rPr>
        <w:t>取、弃土</w:t>
      </w:r>
      <w:r>
        <w:tab/>
      </w:r>
      <w:r>
        <w:fldChar w:fldCharType="begin"/>
      </w:r>
      <w:r>
        <w:instrText xml:space="preserve"> PAGEREF _Toc5809713 \h </w:instrText>
      </w:r>
      <w:r>
        <w:fldChar w:fldCharType="separate"/>
      </w:r>
      <w:r>
        <w:t>29</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"_Toc5809714" </w:instrText>
      </w:r>
      <w:r>
        <w:fldChar w:fldCharType="separate"/>
      </w:r>
      <w:r>
        <w:rPr>
          <w:rStyle w:val="17"/>
          <w:color w:val="auto"/>
        </w:rPr>
        <w:t>6.4</w:t>
      </w:r>
      <w:r>
        <w:rPr>
          <w:rFonts w:asciiTheme="minorHAnsi" w:hAnsiTheme="minorHAnsi" w:eastAsiaTheme="minorEastAsia" w:cstheme="minorBidi"/>
          <w:sz w:val="21"/>
          <w:szCs w:val="22"/>
        </w:rPr>
        <w:tab/>
      </w:r>
      <w:r>
        <w:rPr>
          <w:rStyle w:val="17"/>
          <w:color w:val="auto"/>
        </w:rPr>
        <w:t>资源利用</w:t>
      </w:r>
      <w:r>
        <w:tab/>
      </w:r>
      <w:r>
        <w:fldChar w:fldCharType="begin"/>
      </w:r>
      <w:r>
        <w:instrText xml:space="preserve"> PAGEREF _Toc5809714 \h </w:instrText>
      </w:r>
      <w:r>
        <w:fldChar w:fldCharType="separate"/>
      </w:r>
      <w:r>
        <w:t>33</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"_Toc5809715" </w:instrText>
      </w:r>
      <w:r>
        <w:fldChar w:fldCharType="separate"/>
      </w:r>
      <w:r>
        <w:rPr>
          <w:rStyle w:val="17"/>
          <w:color w:val="auto"/>
        </w:rPr>
        <w:t>6.5</w:t>
      </w:r>
      <w:r>
        <w:rPr>
          <w:rFonts w:asciiTheme="minorHAnsi" w:hAnsiTheme="minorHAnsi" w:eastAsiaTheme="minorEastAsia" w:cstheme="minorBidi"/>
          <w:sz w:val="21"/>
          <w:szCs w:val="22"/>
        </w:rPr>
        <w:tab/>
      </w:r>
      <w:r>
        <w:rPr>
          <w:rStyle w:val="17"/>
          <w:color w:val="auto"/>
        </w:rPr>
        <w:t>路基</w:t>
      </w:r>
      <w:r>
        <w:tab/>
      </w:r>
      <w:r>
        <w:fldChar w:fldCharType="begin"/>
      </w:r>
      <w:r>
        <w:instrText xml:space="preserve"> PAGEREF _Toc5809715 \h </w:instrText>
      </w:r>
      <w:r>
        <w:fldChar w:fldCharType="separate"/>
      </w:r>
      <w:r>
        <w:t>34</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"_Toc5809716" </w:instrText>
      </w:r>
      <w:r>
        <w:fldChar w:fldCharType="separate"/>
      </w:r>
      <w:r>
        <w:rPr>
          <w:rStyle w:val="17"/>
          <w:color w:val="auto"/>
        </w:rPr>
        <w:t>6.6</w:t>
      </w:r>
      <w:r>
        <w:rPr>
          <w:rFonts w:asciiTheme="minorHAnsi" w:hAnsiTheme="minorHAnsi" w:eastAsiaTheme="minorEastAsia" w:cstheme="minorBidi"/>
          <w:sz w:val="21"/>
          <w:szCs w:val="22"/>
        </w:rPr>
        <w:tab/>
      </w:r>
      <w:r>
        <w:rPr>
          <w:rStyle w:val="17"/>
          <w:color w:val="auto"/>
        </w:rPr>
        <w:t>路面</w:t>
      </w:r>
      <w:r>
        <w:tab/>
      </w:r>
      <w:r>
        <w:fldChar w:fldCharType="begin"/>
      </w:r>
      <w:r>
        <w:instrText xml:space="preserve"> PAGEREF _Toc5809716 \h </w:instrText>
      </w:r>
      <w:r>
        <w:fldChar w:fldCharType="separate"/>
      </w:r>
      <w:r>
        <w:t>35</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"_Toc5809717" </w:instrText>
      </w:r>
      <w:r>
        <w:fldChar w:fldCharType="separate"/>
      </w:r>
      <w:r>
        <w:rPr>
          <w:rStyle w:val="17"/>
          <w:color w:val="auto"/>
        </w:rPr>
        <w:t>6.7</w:t>
      </w:r>
      <w:r>
        <w:rPr>
          <w:rFonts w:asciiTheme="minorHAnsi" w:hAnsiTheme="minorHAnsi" w:eastAsiaTheme="minorEastAsia" w:cstheme="minorBidi"/>
          <w:sz w:val="21"/>
          <w:szCs w:val="22"/>
        </w:rPr>
        <w:tab/>
      </w:r>
      <w:r>
        <w:rPr>
          <w:rStyle w:val="17"/>
          <w:color w:val="auto"/>
        </w:rPr>
        <w:t>临时占地</w:t>
      </w:r>
      <w:r>
        <w:tab/>
      </w:r>
      <w:r>
        <w:fldChar w:fldCharType="begin"/>
      </w:r>
      <w:r>
        <w:instrText xml:space="preserve"> PAGEREF _Toc5809717 \h </w:instrText>
      </w:r>
      <w:r>
        <w:fldChar w:fldCharType="separate"/>
      </w:r>
      <w:r>
        <w:t>35</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"_Toc5809718" </w:instrText>
      </w:r>
      <w:r>
        <w:fldChar w:fldCharType="separate"/>
      </w:r>
      <w:r>
        <w:rPr>
          <w:rStyle w:val="17"/>
          <w:color w:val="auto"/>
        </w:rPr>
        <w:t>7</w:t>
      </w:r>
      <w:r>
        <w:rPr>
          <w:rFonts w:asciiTheme="minorHAnsi" w:hAnsiTheme="minorHAnsi" w:eastAsiaTheme="minorEastAsia" w:cstheme="minorBidi"/>
          <w:b w:val="0"/>
          <w:sz w:val="21"/>
          <w:szCs w:val="22"/>
        </w:rPr>
        <w:tab/>
      </w:r>
      <w:r>
        <w:rPr>
          <w:rStyle w:val="17"/>
          <w:color w:val="auto"/>
        </w:rPr>
        <w:t>河湖工程</w:t>
      </w:r>
      <w:r>
        <w:tab/>
      </w:r>
      <w:r>
        <w:fldChar w:fldCharType="begin"/>
      </w:r>
      <w:r>
        <w:instrText xml:space="preserve"> PAGEREF _Toc5809718 \h </w:instrText>
      </w:r>
      <w:r>
        <w:fldChar w:fldCharType="separate"/>
      </w:r>
      <w:r>
        <w:t>37</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"_Toc5809719" </w:instrText>
      </w:r>
      <w:r>
        <w:fldChar w:fldCharType="separate"/>
      </w:r>
      <w:r>
        <w:rPr>
          <w:rStyle w:val="17"/>
          <w:color w:val="auto"/>
        </w:rPr>
        <w:t>7.1</w:t>
      </w:r>
      <w:r>
        <w:rPr>
          <w:rFonts w:asciiTheme="minorHAnsi" w:hAnsiTheme="minorHAnsi" w:eastAsiaTheme="minorEastAsia" w:cstheme="minorBidi"/>
          <w:sz w:val="21"/>
          <w:szCs w:val="22"/>
        </w:rPr>
        <w:tab/>
      </w:r>
      <w:r>
        <w:rPr>
          <w:rStyle w:val="17"/>
          <w:color w:val="auto"/>
        </w:rPr>
        <w:t>环保疏浚</w:t>
      </w:r>
      <w:r>
        <w:tab/>
      </w:r>
      <w:r>
        <w:fldChar w:fldCharType="begin"/>
      </w:r>
      <w:r>
        <w:instrText xml:space="preserve"> PAGEREF _Toc5809719 \h </w:instrText>
      </w:r>
      <w:r>
        <w:fldChar w:fldCharType="separate"/>
      </w:r>
      <w:r>
        <w:t>37</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"_Toc5809720" </w:instrText>
      </w:r>
      <w:r>
        <w:fldChar w:fldCharType="separate"/>
      </w:r>
      <w:r>
        <w:rPr>
          <w:rStyle w:val="17"/>
          <w:color w:val="auto"/>
        </w:rPr>
        <w:t>7.2</w:t>
      </w:r>
      <w:r>
        <w:rPr>
          <w:rFonts w:asciiTheme="minorHAnsi" w:hAnsiTheme="minorHAnsi" w:eastAsiaTheme="minorEastAsia" w:cstheme="minorBidi"/>
          <w:sz w:val="21"/>
          <w:szCs w:val="22"/>
        </w:rPr>
        <w:tab/>
      </w:r>
      <w:r>
        <w:rPr>
          <w:rStyle w:val="17"/>
          <w:color w:val="auto"/>
        </w:rPr>
        <w:t>废污水污染防治</w:t>
      </w:r>
      <w:r>
        <w:tab/>
      </w:r>
      <w:r>
        <w:fldChar w:fldCharType="begin"/>
      </w:r>
      <w:r>
        <w:instrText xml:space="preserve"> PAGEREF _Toc5809720 \h </w:instrText>
      </w:r>
      <w:r>
        <w:fldChar w:fldCharType="separate"/>
      </w:r>
      <w:r>
        <w:t>39</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"_Toc5809721" </w:instrText>
      </w:r>
      <w:r>
        <w:fldChar w:fldCharType="separate"/>
      </w:r>
      <w:r>
        <w:rPr>
          <w:rStyle w:val="17"/>
          <w:color w:val="auto"/>
        </w:rPr>
        <w:t>7.3</w:t>
      </w:r>
      <w:r>
        <w:rPr>
          <w:rFonts w:asciiTheme="minorHAnsi" w:hAnsiTheme="minorHAnsi" w:eastAsiaTheme="minorEastAsia" w:cstheme="minorBidi"/>
          <w:sz w:val="21"/>
          <w:szCs w:val="22"/>
        </w:rPr>
        <w:tab/>
      </w:r>
      <w:r>
        <w:rPr>
          <w:rStyle w:val="17"/>
          <w:color w:val="auto"/>
        </w:rPr>
        <w:t>废气污染防治</w:t>
      </w:r>
      <w:r>
        <w:tab/>
      </w:r>
      <w:r>
        <w:fldChar w:fldCharType="begin"/>
      </w:r>
      <w:r>
        <w:instrText xml:space="preserve"> PAGEREF _Toc5809721 \h </w:instrText>
      </w:r>
      <w:r>
        <w:fldChar w:fldCharType="separate"/>
      </w:r>
      <w:r>
        <w:t>40</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"_Toc5809722" </w:instrText>
      </w:r>
      <w:r>
        <w:fldChar w:fldCharType="separate"/>
      </w:r>
      <w:r>
        <w:rPr>
          <w:rStyle w:val="17"/>
          <w:color w:val="auto"/>
        </w:rPr>
        <w:t>7.4</w:t>
      </w:r>
      <w:r>
        <w:rPr>
          <w:rFonts w:asciiTheme="minorHAnsi" w:hAnsiTheme="minorHAnsi" w:eastAsiaTheme="minorEastAsia" w:cstheme="minorBidi"/>
          <w:sz w:val="21"/>
          <w:szCs w:val="22"/>
        </w:rPr>
        <w:tab/>
      </w:r>
      <w:r>
        <w:rPr>
          <w:rStyle w:val="17"/>
          <w:color w:val="auto"/>
        </w:rPr>
        <w:t>固体废物处置</w:t>
      </w:r>
      <w:r>
        <w:tab/>
      </w:r>
      <w:r>
        <w:fldChar w:fldCharType="begin"/>
      </w:r>
      <w:r>
        <w:instrText xml:space="preserve"> PAGEREF _Toc5809722 \h </w:instrText>
      </w:r>
      <w:r>
        <w:fldChar w:fldCharType="separate"/>
      </w:r>
      <w:r>
        <w:t>40</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"_Toc5809723" </w:instrText>
      </w:r>
      <w:r>
        <w:fldChar w:fldCharType="separate"/>
      </w:r>
      <w:r>
        <w:rPr>
          <w:rStyle w:val="17"/>
          <w:color w:val="auto"/>
        </w:rPr>
        <w:t>7.5</w:t>
      </w:r>
      <w:r>
        <w:rPr>
          <w:rFonts w:asciiTheme="minorHAnsi" w:hAnsiTheme="minorHAnsi" w:eastAsiaTheme="minorEastAsia" w:cstheme="minorBidi"/>
          <w:sz w:val="21"/>
          <w:szCs w:val="22"/>
        </w:rPr>
        <w:tab/>
      </w:r>
      <w:r>
        <w:rPr>
          <w:rStyle w:val="17"/>
          <w:color w:val="auto"/>
        </w:rPr>
        <w:t>噪声控制</w:t>
      </w:r>
      <w:r>
        <w:tab/>
      </w:r>
      <w:r>
        <w:fldChar w:fldCharType="begin"/>
      </w:r>
      <w:r>
        <w:instrText xml:space="preserve"> PAGEREF _Toc5809723 \h </w:instrText>
      </w:r>
      <w:r>
        <w:fldChar w:fldCharType="separate"/>
      </w:r>
      <w:r>
        <w:t>41</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"_Toc5809724" </w:instrText>
      </w:r>
      <w:r>
        <w:fldChar w:fldCharType="separate"/>
      </w:r>
      <w:r>
        <w:rPr>
          <w:rStyle w:val="17"/>
          <w:color w:val="auto"/>
        </w:rPr>
        <w:t>7.6</w:t>
      </w:r>
      <w:r>
        <w:rPr>
          <w:rFonts w:asciiTheme="minorHAnsi" w:hAnsiTheme="minorHAnsi" w:eastAsiaTheme="minorEastAsia" w:cstheme="minorBidi"/>
          <w:sz w:val="21"/>
          <w:szCs w:val="22"/>
        </w:rPr>
        <w:tab/>
      </w:r>
      <w:r>
        <w:rPr>
          <w:rStyle w:val="17"/>
          <w:color w:val="auto"/>
        </w:rPr>
        <w:t>水土流失防治</w:t>
      </w:r>
      <w:r>
        <w:tab/>
      </w:r>
      <w:r>
        <w:fldChar w:fldCharType="begin"/>
      </w:r>
      <w:r>
        <w:instrText xml:space="preserve"> PAGEREF _Toc5809724 \h </w:instrText>
      </w:r>
      <w:r>
        <w:fldChar w:fldCharType="separate"/>
      </w:r>
      <w:r>
        <w:t>42</w:t>
      </w:r>
      <w:r>
        <w:fldChar w:fldCharType="end"/>
      </w:r>
      <w:r>
        <w:fldChar w:fldCharType="end"/>
      </w:r>
    </w:p>
    <w:p>
      <w:pPr>
        <w:pStyle w:val="12"/>
        <w:tabs>
          <w:tab w:val="left" w:pos="1050"/>
          <w:tab w:val="right" w:leader="dot" w:pos="8296"/>
        </w:tabs>
        <w:ind w:left="480"/>
        <w:rPr>
          <w:rFonts w:asciiTheme="minorHAnsi" w:hAnsiTheme="minorHAnsi" w:eastAsiaTheme="minorEastAsia" w:cstheme="minorBidi"/>
          <w:sz w:val="21"/>
          <w:szCs w:val="22"/>
        </w:rPr>
      </w:pPr>
      <w:r>
        <w:fldChar w:fldCharType="begin"/>
      </w:r>
      <w:r>
        <w:instrText xml:space="preserve"> HYPERLINK \l "_Toc5809725" </w:instrText>
      </w:r>
      <w:r>
        <w:fldChar w:fldCharType="separate"/>
      </w:r>
      <w:r>
        <w:rPr>
          <w:rStyle w:val="17"/>
          <w:color w:val="auto"/>
        </w:rPr>
        <w:t>7.7</w:t>
      </w:r>
      <w:r>
        <w:rPr>
          <w:rFonts w:asciiTheme="minorHAnsi" w:hAnsiTheme="minorHAnsi" w:eastAsiaTheme="minorEastAsia" w:cstheme="minorBidi"/>
          <w:sz w:val="21"/>
          <w:szCs w:val="22"/>
        </w:rPr>
        <w:tab/>
      </w:r>
      <w:r>
        <w:rPr>
          <w:rStyle w:val="17"/>
          <w:color w:val="auto"/>
        </w:rPr>
        <w:t>景观及视觉保护</w:t>
      </w:r>
      <w:r>
        <w:tab/>
      </w:r>
      <w:r>
        <w:fldChar w:fldCharType="begin"/>
      </w:r>
      <w:r>
        <w:instrText xml:space="preserve"> PAGEREF _Toc5809725 \h </w:instrText>
      </w:r>
      <w:r>
        <w:fldChar w:fldCharType="separate"/>
      </w:r>
      <w:r>
        <w:t>42</w:t>
      </w:r>
      <w:r>
        <w:fldChar w:fldCharType="end"/>
      </w:r>
      <w:r>
        <w:fldChar w:fldCharType="end"/>
      </w:r>
    </w:p>
    <w:p>
      <w:pPr>
        <w:pStyle w:val="11"/>
        <w:rPr>
          <w:rFonts w:asciiTheme="minorHAnsi" w:hAnsiTheme="minorHAnsi" w:eastAsiaTheme="minorEastAsia" w:cstheme="minorBidi"/>
          <w:b w:val="0"/>
          <w:sz w:val="21"/>
          <w:szCs w:val="22"/>
        </w:rPr>
      </w:pPr>
      <w:r>
        <w:fldChar w:fldCharType="begin"/>
      </w:r>
      <w:r>
        <w:instrText xml:space="preserve"> HYPERLINK \l "_Toc5809726" </w:instrText>
      </w:r>
      <w:r>
        <w:fldChar w:fldCharType="separate"/>
      </w:r>
      <w:r>
        <w:rPr>
          <w:rStyle w:val="17"/>
          <w:color w:val="auto"/>
        </w:rPr>
        <w:t>导则用词说明</w:t>
      </w:r>
      <w:r>
        <w:tab/>
      </w:r>
      <w:r>
        <w:fldChar w:fldCharType="begin"/>
      </w:r>
      <w:r>
        <w:instrText xml:space="preserve"> PAGEREF _Toc5809726 \h </w:instrText>
      </w:r>
      <w:r>
        <w:fldChar w:fldCharType="separate"/>
      </w:r>
      <w:r>
        <w:t>43</w:t>
      </w:r>
      <w:r>
        <w:fldChar w:fldCharType="end"/>
      </w:r>
      <w:r>
        <w:fldChar w:fldCharType="end"/>
      </w:r>
    </w:p>
    <w:p>
      <w:pPr>
        <w:spacing w:after="312"/>
        <w:jc w:val="center"/>
        <w:rPr>
          <w:rFonts w:eastAsia="黑体"/>
          <w:b/>
          <w:sz w:val="32"/>
          <w:szCs w:val="32"/>
        </w:rPr>
      </w:pPr>
      <w:r>
        <w:rPr>
          <w:rFonts w:eastAsia="黑体"/>
          <w:b/>
          <w:sz w:val="32"/>
          <w:szCs w:val="32"/>
        </w:rPr>
        <w:fldChar w:fldCharType="end"/>
      </w:r>
    </w:p>
    <w:p>
      <w:pPr>
        <w:spacing w:after="312"/>
        <w:jc w:val="center"/>
        <w:sectPr>
          <w:footerReference r:id="rId9" w:type="default"/>
          <w:pgSz w:w="11906" w:h="16838"/>
          <w:pgMar w:top="1440" w:right="1800" w:bottom="1440" w:left="1800" w:header="851" w:footer="992" w:gutter="0"/>
          <w:cols w:space="425" w:num="1"/>
          <w:docGrid w:type="lines" w:linePitch="312" w:charSpace="0"/>
        </w:sectPr>
      </w:pPr>
    </w:p>
    <w:p>
      <w:pPr>
        <w:pStyle w:val="2"/>
        <w:numPr>
          <w:ilvl w:val="0"/>
          <w:numId w:val="2"/>
        </w:numPr>
        <w:spacing w:after="312"/>
        <w:ind w:left="0" w:firstLine="0"/>
        <w:rPr>
          <w:rFonts w:cs="Times New Roman"/>
        </w:rPr>
      </w:pPr>
      <w:bookmarkStart w:id="4" w:name="_Toc499632104"/>
      <w:bookmarkStart w:id="5" w:name="_Toc520454350"/>
      <w:bookmarkStart w:id="6" w:name="_Toc5809697"/>
      <w:bookmarkStart w:id="7" w:name="_Toc498594726"/>
      <w:r>
        <w:rPr>
          <w:rFonts w:hint="eastAsia" w:cs="Times New Roman"/>
        </w:rPr>
        <w:t xml:space="preserve">总 </w:t>
      </w:r>
      <w:r>
        <w:rPr>
          <w:rFonts w:cs="Times New Roman"/>
        </w:rPr>
        <w:t xml:space="preserve"> </w:t>
      </w:r>
      <w:r>
        <w:rPr>
          <w:rFonts w:hint="eastAsia" w:cs="Times New Roman"/>
        </w:rPr>
        <w:t>则</w:t>
      </w:r>
      <w:bookmarkEnd w:id="4"/>
      <w:bookmarkEnd w:id="5"/>
      <w:bookmarkEnd w:id="6"/>
      <w:bookmarkEnd w:id="7"/>
    </w:p>
    <w:p>
      <w:pPr>
        <w:spacing w:after="312"/>
      </w:pPr>
      <w:r>
        <w:rPr>
          <w:rFonts w:hint="eastAsia"/>
          <w:b/>
        </w:rPr>
        <w:t>1</w:t>
      </w:r>
      <w:r>
        <w:rPr>
          <w:b/>
        </w:rPr>
        <w:t>.0.1</w:t>
      </w:r>
      <w:r>
        <w:t xml:space="preserve">  </w:t>
      </w:r>
      <w:r>
        <w:rPr>
          <w:rFonts w:hint="eastAsia"/>
        </w:rPr>
        <w:t>为加强建设项目建设过程中的环保监督管理，确保生态环境得到有效保护，制定本导则。</w:t>
      </w:r>
    </w:p>
    <w:p>
      <w:pPr>
        <w:autoSpaceDE w:val="0"/>
        <w:autoSpaceDN w:val="0"/>
        <w:adjustRightInd w:val="0"/>
        <w:spacing w:after="312" w:afterLines="0"/>
      </w:pPr>
      <w:r>
        <w:rPr>
          <w:rFonts w:hint="eastAsia"/>
          <w:b/>
        </w:rPr>
        <w:t>1</w:t>
      </w:r>
      <w:r>
        <w:rPr>
          <w:b/>
        </w:rPr>
        <w:t>.0.2</w:t>
      </w:r>
      <w:r>
        <w:t xml:space="preserve">  </w:t>
      </w:r>
      <w:r>
        <w:rPr>
          <w:rFonts w:hint="eastAsia"/>
        </w:rPr>
        <w:t>本导则对</w:t>
      </w:r>
      <w:r>
        <w:rPr>
          <w:kern w:val="0"/>
        </w:rPr>
        <w:t>福州市行政区域内</w:t>
      </w:r>
      <w:r>
        <w:rPr>
          <w:rFonts w:hint="eastAsia"/>
          <w:kern w:val="0"/>
        </w:rPr>
        <w:t>建筑工程、道路工程、河湖工程等建设项目的环保措施提出要求</w:t>
      </w:r>
      <w:r>
        <w:rPr>
          <w:kern w:val="0"/>
        </w:rPr>
        <w:t>。</w:t>
      </w:r>
    </w:p>
    <w:p>
      <w:pPr>
        <w:spacing w:after="312"/>
      </w:pPr>
      <w:r>
        <w:rPr>
          <w:rFonts w:hint="eastAsia"/>
          <w:b/>
        </w:rPr>
        <w:t>1</w:t>
      </w:r>
      <w:r>
        <w:rPr>
          <w:b/>
        </w:rPr>
        <w:t>.0.3</w:t>
      </w:r>
      <w:r>
        <w:t xml:space="preserve">  </w:t>
      </w:r>
      <w:r>
        <w:rPr>
          <w:rFonts w:hint="eastAsia"/>
        </w:rPr>
        <w:t>建设项目环保措施除满足本导则要求外，尚应符合国家现行有关标准的规定。</w:t>
      </w:r>
    </w:p>
    <w:p>
      <w:pPr>
        <w:spacing w:after="312"/>
      </w:pPr>
    </w:p>
    <w:p>
      <w:pPr>
        <w:spacing w:after="312"/>
        <w:jc w:val="center"/>
        <w:sectPr>
          <w:footerReference r:id="rId10" w:type="default"/>
          <w:pgSz w:w="11906" w:h="16838"/>
          <w:pgMar w:top="1440" w:right="1800" w:bottom="1440" w:left="1800" w:header="851" w:footer="992" w:gutter="0"/>
          <w:pgNumType w:start="1"/>
          <w:cols w:space="425" w:num="1"/>
          <w:docGrid w:type="lines" w:linePitch="312" w:charSpace="0"/>
        </w:sectPr>
      </w:pPr>
    </w:p>
    <w:p>
      <w:pPr>
        <w:pStyle w:val="2"/>
        <w:numPr>
          <w:ilvl w:val="0"/>
          <w:numId w:val="2"/>
        </w:numPr>
        <w:spacing w:after="312"/>
        <w:rPr>
          <w:rFonts w:cs="Times New Roman"/>
        </w:rPr>
      </w:pPr>
      <w:bookmarkStart w:id="8" w:name="_Toc499632105"/>
      <w:bookmarkStart w:id="9" w:name="_Toc5809698"/>
      <w:bookmarkStart w:id="10" w:name="_Toc520454351"/>
      <w:r>
        <w:rPr>
          <w:rFonts w:hint="eastAsia" w:cs="Times New Roman"/>
        </w:rPr>
        <w:t>规范性引用文件</w:t>
      </w:r>
      <w:bookmarkEnd w:id="8"/>
      <w:bookmarkEnd w:id="9"/>
      <w:bookmarkEnd w:id="10"/>
    </w:p>
    <w:tbl>
      <w:tblPr>
        <w:tblStyle w:val="15"/>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05"/>
        <w:gridCol w:w="5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J</w:t>
            </w:r>
            <w:r>
              <w:t>GJ 146</w:t>
            </w:r>
          </w:p>
        </w:tc>
        <w:tc>
          <w:tcPr>
            <w:tcW w:w="5891" w:type="dxa"/>
          </w:tcPr>
          <w:p>
            <w:pPr>
              <w:spacing w:afterLines="0"/>
            </w:pPr>
            <w:r>
              <w:rPr>
                <w:rFonts w:hint="eastAsia"/>
              </w:rPr>
              <w:t>建设工程施工现场环境与卫生标准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rPr>
                <w:kern w:val="0"/>
              </w:rPr>
            </w:pPr>
            <w:r>
              <w:rPr>
                <w:rFonts w:hint="eastAsia"/>
                <w:kern w:val="0"/>
              </w:rPr>
              <w:t>J</w:t>
            </w:r>
            <w:r>
              <w:rPr>
                <w:kern w:val="0"/>
              </w:rPr>
              <w:t>TG B04</w:t>
            </w:r>
          </w:p>
        </w:tc>
        <w:tc>
          <w:tcPr>
            <w:tcW w:w="5891" w:type="dxa"/>
          </w:tcPr>
          <w:p>
            <w:pPr>
              <w:spacing w:afterLines="0"/>
              <w:rPr>
                <w:kern w:val="0"/>
              </w:rPr>
            </w:pPr>
            <w:r>
              <w:rPr>
                <w:rFonts w:hint="eastAsia"/>
                <w:kern w:val="0"/>
              </w:rPr>
              <w:t>公路环境保护设计规范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3095</w:t>
            </w:r>
          </w:p>
        </w:tc>
        <w:tc>
          <w:tcPr>
            <w:tcW w:w="5891" w:type="dxa"/>
          </w:tcPr>
          <w:p>
            <w:pPr>
              <w:spacing w:afterLines="0"/>
            </w:pPr>
            <w:r>
              <w:rPr>
                <w:rFonts w:hint="eastAsia"/>
              </w:rPr>
              <w:t>环境空气质量标准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rPr>
                <w:kern w:val="0"/>
              </w:rPr>
            </w:pPr>
            <w:r>
              <w:rPr>
                <w:rFonts w:hint="eastAsia"/>
                <w:kern w:val="0"/>
              </w:rPr>
              <w:t>G</w:t>
            </w:r>
            <w:r>
              <w:rPr>
                <w:kern w:val="0"/>
              </w:rPr>
              <w:t>B 3096</w:t>
            </w:r>
          </w:p>
        </w:tc>
        <w:tc>
          <w:tcPr>
            <w:tcW w:w="5891" w:type="dxa"/>
          </w:tcPr>
          <w:p>
            <w:pPr>
              <w:spacing w:afterLines="0"/>
              <w:rPr>
                <w:kern w:val="0"/>
              </w:rPr>
            </w:pPr>
            <w:r>
              <w:rPr>
                <w:rFonts w:hint="eastAsia"/>
                <w:kern w:val="0"/>
              </w:rPr>
              <w:t>声环境质量标准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3838</w:t>
            </w:r>
          </w:p>
        </w:tc>
        <w:tc>
          <w:tcPr>
            <w:tcW w:w="5891" w:type="dxa"/>
          </w:tcPr>
          <w:p>
            <w:pPr>
              <w:spacing w:afterLines="0"/>
            </w:pPr>
            <w:r>
              <w:rPr>
                <w:rFonts w:hint="eastAsia"/>
              </w:rPr>
              <w:t>地表水环境质量标准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4284</w:t>
            </w:r>
          </w:p>
        </w:tc>
        <w:tc>
          <w:tcPr>
            <w:tcW w:w="5891" w:type="dxa"/>
          </w:tcPr>
          <w:p>
            <w:pPr>
              <w:spacing w:afterLines="0"/>
            </w:pPr>
            <w:r>
              <w:rPr>
                <w:rFonts w:hint="eastAsia"/>
              </w:rPr>
              <w:t>农用污泥中污染物控制标准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5084</w:t>
            </w:r>
          </w:p>
        </w:tc>
        <w:tc>
          <w:tcPr>
            <w:tcW w:w="5891" w:type="dxa"/>
          </w:tcPr>
          <w:p>
            <w:pPr>
              <w:spacing w:afterLines="0"/>
            </w:pPr>
            <w:r>
              <w:rPr>
                <w:rFonts w:hint="eastAsia"/>
              </w:rPr>
              <w:t>农田灌溉水质标准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5749</w:t>
            </w:r>
          </w:p>
        </w:tc>
        <w:tc>
          <w:tcPr>
            <w:tcW w:w="5891" w:type="dxa"/>
          </w:tcPr>
          <w:p>
            <w:pPr>
              <w:spacing w:afterLines="0"/>
            </w:pPr>
            <w:r>
              <w:rPr>
                <w:rFonts w:hint="eastAsia"/>
              </w:rPr>
              <w:t>生活饮用水卫生标准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8978</w:t>
            </w:r>
          </w:p>
        </w:tc>
        <w:tc>
          <w:tcPr>
            <w:tcW w:w="5891" w:type="dxa"/>
          </w:tcPr>
          <w:p>
            <w:pPr>
              <w:spacing w:afterLines="0"/>
            </w:pPr>
            <w:r>
              <w:rPr>
                <w:rFonts w:hint="eastAsia"/>
              </w:rPr>
              <w:t>污水综合排放标准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10070</w:t>
            </w:r>
          </w:p>
        </w:tc>
        <w:tc>
          <w:tcPr>
            <w:tcW w:w="5891" w:type="dxa"/>
          </w:tcPr>
          <w:p>
            <w:pPr>
              <w:spacing w:afterLines="0"/>
            </w:pPr>
            <w:r>
              <w:rPr>
                <w:rFonts w:hint="eastAsia"/>
              </w:rPr>
              <w:t>城市区域环境振动标准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12523</w:t>
            </w:r>
          </w:p>
        </w:tc>
        <w:tc>
          <w:tcPr>
            <w:tcW w:w="5891" w:type="dxa"/>
          </w:tcPr>
          <w:p>
            <w:pPr>
              <w:spacing w:afterLines="0"/>
            </w:pPr>
            <w:r>
              <w:rPr>
                <w:rFonts w:hint="eastAsia"/>
              </w:rPr>
              <w:t>建筑施工场界噪声限值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14554</w:t>
            </w:r>
          </w:p>
        </w:tc>
        <w:tc>
          <w:tcPr>
            <w:tcW w:w="5891" w:type="dxa"/>
          </w:tcPr>
          <w:p>
            <w:pPr>
              <w:spacing w:afterLines="0"/>
            </w:pPr>
            <w:r>
              <w:rPr>
                <w:rFonts w:hint="eastAsia"/>
              </w:rPr>
              <w:t>恶臭污染物排放标准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B/T 14848</w:t>
            </w:r>
          </w:p>
        </w:tc>
        <w:tc>
          <w:tcPr>
            <w:tcW w:w="5891" w:type="dxa"/>
          </w:tcPr>
          <w:p>
            <w:pPr>
              <w:spacing w:afterLines="0"/>
            </w:pPr>
            <w:r>
              <w:rPr>
                <w:rFonts w:hint="eastAsia"/>
              </w:rPr>
              <w:t>地下水质量标准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rFonts w:hint="eastAsia"/>
              </w:rPr>
              <w:t>G</w:t>
            </w:r>
            <w:r>
              <w:t>B 15618</w:t>
            </w:r>
          </w:p>
        </w:tc>
        <w:tc>
          <w:tcPr>
            <w:tcW w:w="5891" w:type="dxa"/>
          </w:tcPr>
          <w:p>
            <w:pPr>
              <w:spacing w:afterLines="0"/>
            </w:pPr>
            <w:r>
              <w:rPr>
                <w:rFonts w:hint="eastAsia"/>
              </w:rPr>
              <w:t>土壤环境质量标准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szCs w:val="24"/>
              </w:rPr>
              <w:t>GB</w:t>
            </w:r>
            <w:r>
              <w:rPr>
                <w:rFonts w:hint="eastAsia"/>
                <w:szCs w:val="24"/>
              </w:rPr>
              <w:t>/</w:t>
            </w:r>
            <w:r>
              <w:rPr>
                <w:szCs w:val="24"/>
              </w:rPr>
              <w:t>T</w:t>
            </w:r>
            <w:r>
              <w:rPr>
                <w:rFonts w:hint="eastAsia"/>
                <w:szCs w:val="24"/>
              </w:rPr>
              <w:t xml:space="preserve"> </w:t>
            </w:r>
            <w:r>
              <w:rPr>
                <w:szCs w:val="24"/>
              </w:rPr>
              <w:t>50905</w:t>
            </w:r>
          </w:p>
        </w:tc>
        <w:tc>
          <w:tcPr>
            <w:tcW w:w="5891" w:type="dxa"/>
          </w:tcPr>
          <w:p>
            <w:pPr>
              <w:spacing w:afterLines="0"/>
            </w:pPr>
            <w:r>
              <w:rPr>
                <w:rFonts w:hint="eastAsia"/>
                <w:szCs w:val="24"/>
              </w:rPr>
              <w:t>建筑工程绿色施工规范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szCs w:val="24"/>
              </w:rPr>
              <w:t>GB</w:t>
            </w:r>
            <w:r>
              <w:rPr>
                <w:rFonts w:hint="eastAsia"/>
                <w:szCs w:val="24"/>
              </w:rPr>
              <w:t>/</w:t>
            </w:r>
            <w:r>
              <w:rPr>
                <w:szCs w:val="24"/>
              </w:rPr>
              <w:t>T</w:t>
            </w:r>
            <w:r>
              <w:rPr>
                <w:rFonts w:hint="eastAsia"/>
                <w:szCs w:val="24"/>
              </w:rPr>
              <w:t xml:space="preserve"> </w:t>
            </w:r>
            <w:r>
              <w:rPr>
                <w:szCs w:val="24"/>
              </w:rPr>
              <w:t>50640</w:t>
            </w:r>
          </w:p>
        </w:tc>
        <w:tc>
          <w:tcPr>
            <w:tcW w:w="5891" w:type="dxa"/>
          </w:tcPr>
          <w:p>
            <w:pPr>
              <w:spacing w:afterLines="0"/>
            </w:pPr>
            <w:r>
              <w:rPr>
                <w:rFonts w:hint="eastAsia"/>
                <w:szCs w:val="24"/>
              </w:rPr>
              <w:t>建筑工程绿色施工评价标准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405" w:type="dxa"/>
          </w:tcPr>
          <w:p>
            <w:pPr>
              <w:spacing w:afterLines="0"/>
            </w:pPr>
            <w:r>
              <w:rPr>
                <w:szCs w:val="24"/>
              </w:rPr>
              <w:t>HJT 394</w:t>
            </w:r>
          </w:p>
        </w:tc>
        <w:tc>
          <w:tcPr>
            <w:tcW w:w="5891" w:type="dxa"/>
          </w:tcPr>
          <w:p>
            <w:pPr>
              <w:spacing w:afterLines="0"/>
              <w:rPr>
                <w:rFonts w:hint="eastAsia"/>
                <w:szCs w:val="24"/>
              </w:rPr>
            </w:pPr>
            <w:r>
              <w:rPr>
                <w:szCs w:val="24"/>
              </w:rPr>
              <w:t>建设项目竣工环境保护验收技术规范</w:t>
            </w:r>
            <w:r>
              <w:rPr>
                <w:rFonts w:hint="eastAsia"/>
                <w:szCs w:val="24"/>
              </w:rPr>
              <w:t>-</w:t>
            </w:r>
            <w:r>
              <w:rPr>
                <w:szCs w:val="24"/>
              </w:rPr>
              <w:t>生态影响类</w:t>
            </w:r>
          </w:p>
        </w:tc>
      </w:tr>
    </w:tbl>
    <w:p>
      <w:pPr>
        <w:spacing w:after="312"/>
      </w:pPr>
    </w:p>
    <w:p>
      <w:pPr>
        <w:spacing w:after="312"/>
      </w:pPr>
    </w:p>
    <w:p>
      <w:pPr>
        <w:spacing w:after="312"/>
        <w:sectPr>
          <w:pgSz w:w="11906" w:h="16838"/>
          <w:pgMar w:top="1440" w:right="1800" w:bottom="1440" w:left="1800" w:header="851" w:footer="992" w:gutter="0"/>
          <w:cols w:space="425" w:num="1"/>
          <w:docGrid w:type="lines" w:linePitch="312" w:charSpace="0"/>
        </w:sectPr>
      </w:pPr>
    </w:p>
    <w:p>
      <w:pPr>
        <w:pStyle w:val="2"/>
        <w:numPr>
          <w:ilvl w:val="0"/>
          <w:numId w:val="2"/>
        </w:numPr>
        <w:spacing w:after="312"/>
      </w:pPr>
      <w:bookmarkStart w:id="11" w:name="_Toc5809699"/>
      <w:r>
        <w:rPr>
          <w:rFonts w:hint="eastAsia"/>
        </w:rPr>
        <w:t>术语</w:t>
      </w:r>
      <w:bookmarkEnd w:id="11"/>
    </w:p>
    <w:p>
      <w:pPr>
        <w:pStyle w:val="19"/>
        <w:numPr>
          <w:ilvl w:val="0"/>
          <w:numId w:val="3"/>
        </w:numPr>
        <w:spacing w:afterLines="0"/>
        <w:ind w:firstLineChars="0"/>
      </w:pPr>
      <w:r>
        <w:rPr>
          <w:rFonts w:hint="eastAsia"/>
        </w:rPr>
        <w:t xml:space="preserve">环境保护 </w:t>
      </w:r>
      <w:r>
        <w:t>environmental conservation</w:t>
      </w:r>
    </w:p>
    <w:p>
      <w:pPr>
        <w:spacing w:after="312"/>
        <w:ind w:firstLine="480" w:firstLineChars="200"/>
      </w:pPr>
      <w:r>
        <w:rPr>
          <w:rFonts w:hint="eastAsia"/>
        </w:rPr>
        <w:t>为解决现实的或潜在的环境问题，协调人类与环境的关系，保障经济社会的健康持续发展而采取的各种活动的总称。</w:t>
      </w:r>
    </w:p>
    <w:p>
      <w:pPr>
        <w:pStyle w:val="19"/>
        <w:numPr>
          <w:ilvl w:val="0"/>
          <w:numId w:val="3"/>
        </w:numPr>
        <w:spacing w:afterLines="0"/>
        <w:ind w:firstLineChars="0"/>
      </w:pPr>
      <w:r>
        <w:rPr>
          <w:rFonts w:hint="eastAsia"/>
        </w:rPr>
        <w:t xml:space="preserve">生态疏浚 </w:t>
      </w:r>
      <w:r>
        <w:t>ecological dredging</w:t>
      </w:r>
    </w:p>
    <w:p>
      <w:pPr>
        <w:spacing w:after="312"/>
      </w:pPr>
      <w:r>
        <w:rPr>
          <w:rFonts w:hint="eastAsia"/>
        </w:rPr>
        <w:t>采用环保型的施工机械设备，去除河湖底表层被污染的淤泥，并控制施工过程中污染物扩散，以减轻河湖内源污染负荷的施工技术方法。</w:t>
      </w:r>
    </w:p>
    <w:p>
      <w:pPr>
        <w:spacing w:after="312"/>
      </w:pPr>
    </w:p>
    <w:p>
      <w:pPr>
        <w:spacing w:after="312"/>
        <w:ind w:firstLine="480" w:firstLineChars="200"/>
      </w:pPr>
    </w:p>
    <w:p>
      <w:pPr>
        <w:spacing w:after="312"/>
        <w:ind w:firstLine="480" w:firstLineChars="200"/>
      </w:pPr>
    </w:p>
    <w:p>
      <w:pPr>
        <w:spacing w:after="312"/>
        <w:ind w:firstLine="480" w:firstLineChars="200"/>
      </w:pPr>
    </w:p>
    <w:p>
      <w:pPr>
        <w:spacing w:after="312"/>
        <w:ind w:firstLine="480" w:firstLineChars="200"/>
      </w:pPr>
    </w:p>
    <w:p>
      <w:pPr>
        <w:spacing w:after="312"/>
        <w:ind w:firstLine="480" w:firstLineChars="200"/>
      </w:pPr>
    </w:p>
    <w:p>
      <w:pPr>
        <w:spacing w:after="312"/>
        <w:ind w:firstLine="480" w:firstLineChars="200"/>
      </w:pPr>
    </w:p>
    <w:p>
      <w:pPr>
        <w:spacing w:after="312"/>
        <w:ind w:firstLine="480" w:firstLineChars="200"/>
        <w:sectPr>
          <w:pgSz w:w="11906" w:h="16838"/>
          <w:pgMar w:top="1440" w:right="1800" w:bottom="1440" w:left="1800" w:header="851" w:footer="992" w:gutter="0"/>
          <w:cols w:space="425" w:num="1"/>
          <w:docGrid w:type="lines" w:linePitch="312" w:charSpace="0"/>
        </w:sectPr>
      </w:pPr>
    </w:p>
    <w:p>
      <w:pPr>
        <w:pStyle w:val="2"/>
        <w:numPr>
          <w:ilvl w:val="0"/>
          <w:numId w:val="2"/>
        </w:numPr>
        <w:spacing w:after="312"/>
        <w:rPr>
          <w:rFonts w:cs="Times New Roman"/>
        </w:rPr>
      </w:pPr>
      <w:bookmarkStart w:id="12" w:name="_Toc5809700"/>
      <w:r>
        <w:rPr>
          <w:rFonts w:hint="eastAsia" w:cs="Times New Roman"/>
        </w:rPr>
        <w:t>基本规定</w:t>
      </w:r>
      <w:bookmarkEnd w:id="12"/>
    </w:p>
    <w:p>
      <w:pPr>
        <w:pStyle w:val="19"/>
        <w:numPr>
          <w:ilvl w:val="0"/>
          <w:numId w:val="4"/>
        </w:numPr>
        <w:spacing w:after="312"/>
        <w:ind w:left="0" w:firstLine="0" w:firstLineChars="0"/>
      </w:pPr>
      <w:r>
        <w:rPr>
          <w:rFonts w:hint="eastAsia"/>
        </w:rPr>
        <w:t>建设单位负责组织咨询单位开展建设项目施工前环境影响评价，根据环境影响评价报告确定的环境敏感点和生态资源保护修复要求，组织设计、施工、监理等参见单位开展相关工作，并提供相关基础资料。</w:t>
      </w:r>
    </w:p>
    <w:p>
      <w:pPr>
        <w:pStyle w:val="19"/>
        <w:numPr>
          <w:ilvl w:val="0"/>
          <w:numId w:val="4"/>
        </w:numPr>
        <w:spacing w:after="312"/>
        <w:ind w:left="0" w:firstLine="0" w:firstLineChars="0"/>
      </w:pPr>
      <w:r>
        <w:rPr>
          <w:szCs w:val="24"/>
        </w:rPr>
        <w:t>设计单位绿色环保施工的设计应符合</w:t>
      </w:r>
      <w:r>
        <w:rPr>
          <w:rFonts w:hint="eastAsia"/>
          <w:szCs w:val="24"/>
        </w:rPr>
        <w:t>《建筑工程绿色施工规范》</w:t>
      </w:r>
      <w:r>
        <w:rPr>
          <w:szCs w:val="24"/>
        </w:rPr>
        <w:t>GB</w:t>
      </w:r>
      <w:r>
        <w:rPr>
          <w:rFonts w:hint="eastAsia"/>
          <w:szCs w:val="24"/>
        </w:rPr>
        <w:t>/</w:t>
      </w:r>
      <w:r>
        <w:rPr>
          <w:szCs w:val="24"/>
        </w:rPr>
        <w:t>T50905</w:t>
      </w:r>
      <w:r>
        <w:rPr>
          <w:rFonts w:hint="eastAsia"/>
          <w:szCs w:val="24"/>
        </w:rPr>
        <w:t>、《建筑工程绿色施工评价标准》</w:t>
      </w:r>
      <w:r>
        <w:rPr>
          <w:szCs w:val="24"/>
        </w:rPr>
        <w:t>GB</w:t>
      </w:r>
      <w:r>
        <w:rPr>
          <w:rFonts w:hint="eastAsia"/>
          <w:szCs w:val="24"/>
        </w:rPr>
        <w:t>/</w:t>
      </w:r>
      <w:r>
        <w:rPr>
          <w:szCs w:val="24"/>
        </w:rPr>
        <w:t>T50640</w:t>
      </w:r>
      <w:r>
        <w:rPr>
          <w:rFonts w:hint="eastAsia"/>
          <w:szCs w:val="24"/>
        </w:rPr>
        <w:t>和《</w:t>
      </w:r>
      <w:r>
        <w:rPr>
          <w:szCs w:val="24"/>
        </w:rPr>
        <w:t>建设项目竣工环境保护验收技术规范</w:t>
      </w:r>
      <w:r>
        <w:rPr>
          <w:rFonts w:hint="eastAsia"/>
          <w:szCs w:val="24"/>
        </w:rPr>
        <w:t>-</w:t>
      </w:r>
      <w:r>
        <w:rPr>
          <w:szCs w:val="24"/>
        </w:rPr>
        <w:t>生态影响类</w:t>
      </w:r>
      <w:r>
        <w:rPr>
          <w:rFonts w:hint="eastAsia"/>
          <w:szCs w:val="24"/>
        </w:rPr>
        <w:t>》</w:t>
      </w:r>
      <w:r>
        <w:rPr>
          <w:szCs w:val="24"/>
        </w:rPr>
        <w:t>HJT 394的规定</w:t>
      </w:r>
      <w:r>
        <w:rPr>
          <w:rFonts w:hint="eastAsia"/>
        </w:rPr>
        <w:t>。</w:t>
      </w:r>
    </w:p>
    <w:p>
      <w:pPr>
        <w:pStyle w:val="19"/>
        <w:numPr>
          <w:ilvl w:val="0"/>
          <w:numId w:val="4"/>
        </w:numPr>
        <w:spacing w:after="312"/>
        <w:ind w:left="0" w:firstLine="0" w:firstLineChars="0"/>
        <w:rPr>
          <w:szCs w:val="24"/>
        </w:rPr>
      </w:pPr>
      <w:r>
        <w:rPr>
          <w:szCs w:val="24"/>
        </w:rPr>
        <w:t>监理单位必须对</w:t>
      </w:r>
      <w:r>
        <w:rPr>
          <w:rFonts w:hint="eastAsia"/>
          <w:szCs w:val="24"/>
        </w:rPr>
        <w:t>建设项目</w:t>
      </w:r>
      <w:r>
        <w:rPr>
          <w:szCs w:val="24"/>
        </w:rPr>
        <w:t>的</w:t>
      </w:r>
      <w:r>
        <w:rPr>
          <w:rFonts w:hint="eastAsia"/>
          <w:szCs w:val="24"/>
        </w:rPr>
        <w:t>生态资源保护修复措施实施</w:t>
      </w:r>
      <w:r>
        <w:rPr>
          <w:szCs w:val="24"/>
        </w:rPr>
        <w:t>承担监理责任，必须审查施工组织设计中的</w:t>
      </w:r>
      <w:r>
        <w:rPr>
          <w:rFonts w:hint="eastAsia"/>
          <w:szCs w:val="24"/>
        </w:rPr>
        <w:t>生态资源保护修复</w:t>
      </w:r>
      <w:r>
        <w:rPr>
          <w:szCs w:val="24"/>
        </w:rPr>
        <w:t>施工技术措施或专项</w:t>
      </w:r>
      <w:r>
        <w:rPr>
          <w:rFonts w:hint="eastAsia"/>
          <w:szCs w:val="24"/>
        </w:rPr>
        <w:t>环境保护</w:t>
      </w:r>
      <w:r>
        <w:rPr>
          <w:szCs w:val="24"/>
        </w:rPr>
        <w:t>施工方案，并在实施过程中做好监督检查工作。</w:t>
      </w:r>
    </w:p>
    <w:p>
      <w:pPr>
        <w:pStyle w:val="19"/>
        <w:numPr>
          <w:ilvl w:val="0"/>
          <w:numId w:val="4"/>
        </w:numPr>
        <w:spacing w:after="312"/>
        <w:ind w:left="0" w:firstLine="0" w:firstLineChars="0"/>
        <w:rPr>
          <w:szCs w:val="24"/>
        </w:rPr>
      </w:pPr>
      <w:r>
        <w:rPr>
          <w:szCs w:val="24"/>
        </w:rPr>
        <w:t>施工单位是建筑工程</w:t>
      </w:r>
      <w:r>
        <w:rPr>
          <w:rFonts w:hint="eastAsia"/>
          <w:szCs w:val="24"/>
        </w:rPr>
        <w:t>生态资源保护修复实施</w:t>
      </w:r>
      <w:r>
        <w:rPr>
          <w:szCs w:val="24"/>
        </w:rPr>
        <w:t>的责任主体，全面负责</w:t>
      </w:r>
      <w:r>
        <w:rPr>
          <w:rFonts w:hint="eastAsia"/>
          <w:szCs w:val="24"/>
        </w:rPr>
        <w:t>生态资源</w:t>
      </w:r>
      <w:r>
        <w:rPr>
          <w:szCs w:val="24"/>
        </w:rPr>
        <w:t>环保施工的实施。建筑工程施工前施工单位应编制</w:t>
      </w:r>
      <w:r>
        <w:rPr>
          <w:rFonts w:hint="eastAsia"/>
          <w:szCs w:val="24"/>
        </w:rPr>
        <w:t>施工各阶段的生态资源保护修复</w:t>
      </w:r>
      <w:r>
        <w:rPr>
          <w:szCs w:val="24"/>
        </w:rPr>
        <w:t>措施，</w:t>
      </w:r>
      <w:r>
        <w:rPr>
          <w:rFonts w:hint="eastAsia"/>
          <w:szCs w:val="24"/>
        </w:rPr>
        <w:t>该</w:t>
      </w:r>
      <w:r>
        <w:rPr>
          <w:szCs w:val="24"/>
        </w:rPr>
        <w:t>施工措施在施工组织设计中独立成章编制或编制专项方案。</w:t>
      </w:r>
    </w:p>
    <w:p>
      <w:pPr>
        <w:pStyle w:val="19"/>
        <w:numPr>
          <w:ilvl w:val="0"/>
          <w:numId w:val="4"/>
        </w:numPr>
        <w:spacing w:after="312"/>
        <w:ind w:left="0" w:firstLine="0" w:firstLineChars="0"/>
        <w:rPr>
          <w:szCs w:val="24"/>
        </w:rPr>
      </w:pPr>
      <w:r>
        <w:rPr>
          <w:szCs w:val="24"/>
        </w:rPr>
        <w:t>施工单位在施工前必须根据国家和地方法律、法规的规定，制定施工现场环境保护突发事件的应急预案。</w:t>
      </w:r>
    </w:p>
    <w:p>
      <w:pPr>
        <w:pStyle w:val="19"/>
        <w:numPr>
          <w:ilvl w:val="0"/>
          <w:numId w:val="4"/>
        </w:numPr>
        <w:spacing w:after="312"/>
        <w:ind w:left="0" w:firstLine="0" w:firstLineChars="0"/>
        <w:rPr>
          <w:szCs w:val="24"/>
        </w:rPr>
      </w:pPr>
      <w:r>
        <w:rPr>
          <w:szCs w:val="24"/>
        </w:rPr>
        <w:t>施工单位应加强管理人员、技术人员和一线建筑工人</w:t>
      </w:r>
      <w:r>
        <w:rPr>
          <w:rFonts w:hint="eastAsia"/>
          <w:szCs w:val="24"/>
        </w:rPr>
        <w:t>生态资源环保</w:t>
      </w:r>
      <w:r>
        <w:rPr>
          <w:szCs w:val="24"/>
        </w:rPr>
        <w:t>施工的培训，提高环保意识，使施工人员尽早掌握</w:t>
      </w:r>
      <w:r>
        <w:rPr>
          <w:rFonts w:hint="eastAsia"/>
          <w:szCs w:val="24"/>
        </w:rPr>
        <w:t>生态</w:t>
      </w:r>
      <w:r>
        <w:rPr>
          <w:szCs w:val="24"/>
        </w:rPr>
        <w:t>环保施工的要求。</w:t>
      </w:r>
    </w:p>
    <w:p>
      <w:pPr>
        <w:pStyle w:val="19"/>
        <w:numPr>
          <w:ilvl w:val="0"/>
          <w:numId w:val="4"/>
        </w:numPr>
        <w:spacing w:after="312"/>
        <w:ind w:left="0" w:firstLine="0" w:firstLineChars="0"/>
        <w:rPr>
          <w:szCs w:val="24"/>
        </w:rPr>
      </w:pPr>
      <w:r>
        <w:rPr>
          <w:szCs w:val="24"/>
        </w:rPr>
        <w:t>施工现场</w:t>
      </w:r>
      <w:r>
        <w:rPr>
          <w:rFonts w:hint="eastAsia"/>
          <w:szCs w:val="24"/>
        </w:rPr>
        <w:t>临时</w:t>
      </w:r>
      <w:r>
        <w:rPr>
          <w:szCs w:val="24"/>
        </w:rPr>
        <w:t>料堆场、仓库</w:t>
      </w:r>
      <w:r>
        <w:rPr>
          <w:rFonts w:hint="eastAsia"/>
          <w:szCs w:val="24"/>
        </w:rPr>
        <w:t>、生活区及办公区的</w:t>
      </w:r>
      <w:r>
        <w:rPr>
          <w:szCs w:val="24"/>
        </w:rPr>
        <w:t>布置应考虑</w:t>
      </w:r>
      <w:r>
        <w:rPr>
          <w:rFonts w:hint="eastAsia"/>
          <w:szCs w:val="24"/>
        </w:rPr>
        <w:t>施工场地已有</w:t>
      </w:r>
      <w:r>
        <w:rPr>
          <w:szCs w:val="24"/>
        </w:rPr>
        <w:t>交通路线，缩短运输距离</w:t>
      </w:r>
      <w:r>
        <w:rPr>
          <w:rFonts w:hint="eastAsia"/>
          <w:szCs w:val="24"/>
        </w:rPr>
        <w:t>以减少能耗及物料和各类垃圾的外泄风险</w:t>
      </w:r>
      <w:r>
        <w:rPr>
          <w:szCs w:val="24"/>
        </w:rPr>
        <w:t>。物料堆放</w:t>
      </w:r>
      <w:r>
        <w:rPr>
          <w:rFonts w:hint="eastAsia"/>
          <w:szCs w:val="24"/>
        </w:rPr>
        <w:t>、</w:t>
      </w:r>
      <w:r>
        <w:rPr>
          <w:szCs w:val="24"/>
        </w:rPr>
        <w:t>加工场所及相关设施</w:t>
      </w:r>
      <w:r>
        <w:rPr>
          <w:rFonts w:hint="eastAsia"/>
          <w:szCs w:val="24"/>
        </w:rPr>
        <w:t>、</w:t>
      </w:r>
      <w:r>
        <w:rPr>
          <w:szCs w:val="24"/>
        </w:rPr>
        <w:t>标识的设置应符合物料装卸</w:t>
      </w:r>
      <w:r>
        <w:rPr>
          <w:rFonts w:hint="eastAsia"/>
          <w:szCs w:val="24"/>
        </w:rPr>
        <w:t>、</w:t>
      </w:r>
      <w:r>
        <w:rPr>
          <w:szCs w:val="24"/>
        </w:rPr>
        <w:t>加工和保管的要求</w:t>
      </w:r>
      <w:r>
        <w:rPr>
          <w:rFonts w:hint="eastAsia"/>
          <w:szCs w:val="24"/>
        </w:rPr>
        <w:t>。</w:t>
      </w:r>
      <w:r>
        <w:rPr>
          <w:szCs w:val="24"/>
        </w:rPr>
        <w:t>施工单位应确保物料堆放在指定场地并建立进出场台账</w:t>
      </w:r>
      <w:r>
        <w:rPr>
          <w:rFonts w:hint="eastAsia"/>
          <w:szCs w:val="24"/>
        </w:rPr>
        <w:t>，</w:t>
      </w:r>
      <w:r>
        <w:rPr>
          <w:szCs w:val="24"/>
        </w:rPr>
        <w:t>不得混放</w:t>
      </w:r>
      <w:r>
        <w:rPr>
          <w:rFonts w:hint="eastAsia"/>
          <w:szCs w:val="24"/>
        </w:rPr>
        <w:t>与占道堆放；物料运输车应设置防滴漏措施，并冲洗干净后离场</w:t>
      </w:r>
      <w:r>
        <w:rPr>
          <w:szCs w:val="24"/>
        </w:rPr>
        <w:t>。</w:t>
      </w:r>
    </w:p>
    <w:p>
      <w:pPr>
        <w:pStyle w:val="19"/>
        <w:numPr>
          <w:ilvl w:val="0"/>
          <w:numId w:val="4"/>
        </w:numPr>
        <w:spacing w:after="312"/>
        <w:ind w:left="0" w:firstLine="0" w:firstLineChars="0"/>
        <w:rPr>
          <w:szCs w:val="24"/>
        </w:rPr>
      </w:pPr>
      <w:r>
        <w:rPr>
          <w:szCs w:val="24"/>
        </w:rPr>
        <w:t>禁止在政府</w:t>
      </w:r>
      <w:r>
        <w:rPr>
          <w:rFonts w:hint="eastAsia"/>
          <w:szCs w:val="24"/>
        </w:rPr>
        <w:t>相关</w:t>
      </w:r>
      <w:r>
        <w:rPr>
          <w:szCs w:val="24"/>
        </w:rPr>
        <w:t>规定的施工禁令时间</w:t>
      </w:r>
      <w:r>
        <w:rPr>
          <w:rFonts w:hint="eastAsia"/>
          <w:szCs w:val="24"/>
        </w:rPr>
        <w:t>内</w:t>
      </w:r>
      <w:r>
        <w:rPr>
          <w:szCs w:val="24"/>
        </w:rPr>
        <w:t>进行建筑工程施工。</w:t>
      </w:r>
    </w:p>
    <w:p>
      <w:pPr>
        <w:pStyle w:val="19"/>
        <w:numPr>
          <w:ilvl w:val="0"/>
          <w:numId w:val="4"/>
        </w:numPr>
        <w:spacing w:after="312"/>
        <w:ind w:left="0" w:firstLine="0" w:firstLineChars="0"/>
      </w:pPr>
      <w:r>
        <w:rPr>
          <w:szCs w:val="24"/>
        </w:rPr>
        <w:t>建筑工程施工现场</w:t>
      </w:r>
      <w:r>
        <w:rPr>
          <w:rFonts w:hint="eastAsia"/>
          <w:szCs w:val="24"/>
        </w:rPr>
        <w:t>固体废弃物、</w:t>
      </w:r>
      <w:r>
        <w:rPr>
          <w:szCs w:val="24"/>
        </w:rPr>
        <w:t>污水、扬尘污染</w:t>
      </w:r>
      <w:r>
        <w:rPr>
          <w:rFonts w:hint="eastAsia"/>
          <w:szCs w:val="24"/>
        </w:rPr>
        <w:t>、</w:t>
      </w:r>
      <w:r>
        <w:rPr>
          <w:szCs w:val="24"/>
        </w:rPr>
        <w:t>大气污染以及噪声的排放应符合</w:t>
      </w:r>
      <w:r>
        <w:rPr>
          <w:rFonts w:hint="eastAsia"/>
          <w:szCs w:val="24"/>
        </w:rPr>
        <w:t>《</w:t>
      </w:r>
      <w:r>
        <w:rPr>
          <w:szCs w:val="24"/>
        </w:rPr>
        <w:t>固体废物处理处置工程技术导则</w:t>
      </w:r>
      <w:r>
        <w:rPr>
          <w:rFonts w:hint="eastAsia"/>
          <w:szCs w:val="24"/>
        </w:rPr>
        <w:t>》</w:t>
      </w:r>
      <w:r>
        <w:rPr>
          <w:szCs w:val="24"/>
        </w:rPr>
        <w:t>HJ 2035</w:t>
      </w:r>
      <w:r>
        <w:rPr>
          <w:rFonts w:hint="eastAsia"/>
          <w:szCs w:val="24"/>
        </w:rPr>
        <w:t>、《</w:t>
      </w:r>
      <w:r>
        <w:rPr>
          <w:szCs w:val="24"/>
        </w:rPr>
        <w:t>污水综合排放标准</w:t>
      </w:r>
      <w:r>
        <w:rPr>
          <w:rFonts w:hint="eastAsia"/>
          <w:szCs w:val="24"/>
        </w:rPr>
        <w:t>》</w:t>
      </w:r>
      <w:r>
        <w:rPr>
          <w:szCs w:val="24"/>
        </w:rPr>
        <w:t>GB 8978、</w:t>
      </w:r>
      <w:r>
        <w:rPr>
          <w:rFonts w:hint="eastAsia"/>
          <w:szCs w:val="24"/>
        </w:rPr>
        <w:t>《防治城市扬尘污染技术规范》</w:t>
      </w:r>
      <w:r>
        <w:rPr>
          <w:szCs w:val="24"/>
        </w:rPr>
        <w:t>HJ/T 393</w:t>
      </w:r>
      <w:r>
        <w:rPr>
          <w:rFonts w:hint="eastAsia"/>
          <w:szCs w:val="24"/>
        </w:rPr>
        <w:t>、《</w:t>
      </w:r>
      <w:r>
        <w:rPr>
          <w:szCs w:val="24"/>
        </w:rPr>
        <w:t>大气污染物综合排放标</w:t>
      </w:r>
      <w:r>
        <w:rPr>
          <w:rFonts w:hint="eastAsia"/>
          <w:szCs w:val="24"/>
        </w:rPr>
        <w:t>准》GB</w:t>
      </w:r>
      <w:r>
        <w:rPr>
          <w:szCs w:val="24"/>
        </w:rPr>
        <w:t xml:space="preserve"> 16297、</w:t>
      </w:r>
      <w:r>
        <w:rPr>
          <w:rFonts w:hint="eastAsia"/>
          <w:szCs w:val="24"/>
        </w:rPr>
        <w:t>《</w:t>
      </w:r>
      <w:r>
        <w:rPr>
          <w:szCs w:val="24"/>
        </w:rPr>
        <w:t>建筑施工场界环境噪声排放标准</w:t>
      </w:r>
      <w:r>
        <w:rPr>
          <w:rFonts w:hint="eastAsia"/>
          <w:szCs w:val="24"/>
        </w:rPr>
        <w:t>》</w:t>
      </w:r>
      <w:r>
        <w:rPr>
          <w:szCs w:val="24"/>
        </w:rPr>
        <w:t>GB 12523、</w:t>
      </w:r>
      <w:r>
        <w:rPr>
          <w:rFonts w:hint="eastAsia"/>
          <w:szCs w:val="24"/>
        </w:rPr>
        <w:t>《</w:t>
      </w:r>
      <w:r>
        <w:rPr>
          <w:szCs w:val="24"/>
        </w:rPr>
        <w:t>建筑工程绿色施工规范</w:t>
      </w:r>
      <w:r>
        <w:rPr>
          <w:rFonts w:hint="eastAsia"/>
          <w:szCs w:val="24"/>
        </w:rPr>
        <w:t>》</w:t>
      </w:r>
      <w:r>
        <w:rPr>
          <w:szCs w:val="24"/>
        </w:rPr>
        <w:t>GB/T 50905、</w:t>
      </w:r>
      <w:r>
        <w:rPr>
          <w:rFonts w:hint="eastAsia"/>
          <w:szCs w:val="24"/>
        </w:rPr>
        <w:t>《建筑工程绿色施工评价标准》</w:t>
      </w:r>
      <w:r>
        <w:rPr>
          <w:szCs w:val="24"/>
        </w:rPr>
        <w:t>GB/T 50640的规定。</w:t>
      </w:r>
    </w:p>
    <w:p>
      <w:pPr>
        <w:pStyle w:val="19"/>
        <w:numPr>
          <w:ilvl w:val="0"/>
          <w:numId w:val="4"/>
        </w:numPr>
        <w:spacing w:afterLines="0"/>
        <w:ind w:left="0" w:firstLine="0" w:firstLineChars="0"/>
        <w:rPr>
          <w:szCs w:val="24"/>
        </w:rPr>
      </w:pPr>
      <w:r>
        <w:rPr>
          <w:szCs w:val="24"/>
        </w:rPr>
        <w:t>建筑工程施工生态资源保护修复方案编制应包括但不限于以下内容</w:t>
      </w:r>
      <w:r>
        <w:rPr>
          <w:rFonts w:hint="eastAsia"/>
          <w:szCs w:val="24"/>
        </w:rPr>
        <w:t>：</w:t>
      </w:r>
    </w:p>
    <w:p>
      <w:pPr>
        <w:pStyle w:val="19"/>
        <w:numPr>
          <w:ilvl w:val="0"/>
          <w:numId w:val="5"/>
        </w:numPr>
        <w:spacing w:afterLines="0"/>
        <w:ind w:left="0" w:firstLine="480"/>
        <w:rPr>
          <w:szCs w:val="24"/>
        </w:rPr>
      </w:pPr>
      <w:r>
        <w:rPr>
          <w:szCs w:val="24"/>
        </w:rPr>
        <w:t>施工单位应在</w:t>
      </w:r>
      <w:r>
        <w:rPr>
          <w:rFonts w:hint="eastAsia"/>
          <w:szCs w:val="24"/>
        </w:rPr>
        <w:t>工程施工前准备</w:t>
      </w:r>
      <w:r>
        <w:rPr>
          <w:szCs w:val="24"/>
        </w:rPr>
        <w:t>阶段</w:t>
      </w:r>
      <w:r>
        <w:rPr>
          <w:rFonts w:hint="eastAsia"/>
          <w:szCs w:val="24"/>
        </w:rPr>
        <w:t>，根据设计交底和施工特点，单独</w:t>
      </w:r>
      <w:r>
        <w:rPr>
          <w:szCs w:val="24"/>
        </w:rPr>
        <w:t>编制《建筑工程施工生态资源保护修复实施方案》，</w:t>
      </w:r>
      <w:r>
        <w:rPr>
          <w:rFonts w:hint="eastAsia"/>
          <w:szCs w:val="24"/>
        </w:rPr>
        <w:t>或</w:t>
      </w:r>
      <w:r>
        <w:rPr>
          <w:szCs w:val="24"/>
        </w:rPr>
        <w:t>将其内容作为施工组织方案的单独章节予以编制。</w:t>
      </w:r>
    </w:p>
    <w:p>
      <w:pPr>
        <w:pStyle w:val="19"/>
        <w:numPr>
          <w:ilvl w:val="0"/>
          <w:numId w:val="5"/>
        </w:numPr>
        <w:spacing w:afterLines="0"/>
        <w:ind w:left="0" w:firstLine="480"/>
        <w:rPr>
          <w:szCs w:val="24"/>
        </w:rPr>
      </w:pPr>
      <w:r>
        <w:rPr>
          <w:szCs w:val="24"/>
        </w:rPr>
        <w:t>生态资源保护修复实施方案要有明确的生态资源保护修复技术指标。保证完成技术指标的措施具有针对性和可操作性。</w:t>
      </w:r>
    </w:p>
    <w:p>
      <w:pPr>
        <w:pStyle w:val="19"/>
        <w:numPr>
          <w:ilvl w:val="0"/>
          <w:numId w:val="5"/>
        </w:numPr>
        <w:spacing w:afterLines="0"/>
        <w:ind w:left="0" w:firstLine="480"/>
        <w:rPr>
          <w:szCs w:val="24"/>
        </w:rPr>
      </w:pPr>
      <w:r>
        <w:rPr>
          <w:rFonts w:hint="eastAsia"/>
          <w:szCs w:val="24"/>
        </w:rPr>
        <w:t>《建筑工程施工生态资源保护修复实施方案》应根据生态资源保护修复需要，针对性提出施工标准化要求。</w:t>
      </w:r>
    </w:p>
    <w:p>
      <w:pPr>
        <w:pStyle w:val="19"/>
        <w:numPr>
          <w:ilvl w:val="0"/>
          <w:numId w:val="5"/>
        </w:numPr>
        <w:spacing w:afterLines="0"/>
        <w:ind w:left="0" w:firstLine="480"/>
        <w:rPr>
          <w:szCs w:val="24"/>
        </w:rPr>
      </w:pPr>
      <w:r>
        <w:rPr>
          <w:rFonts w:hint="eastAsia"/>
          <w:szCs w:val="24"/>
        </w:rPr>
        <w:t>明确施工单位生态资源保护修复领导机构、分工及责任人。</w:t>
      </w:r>
    </w:p>
    <w:p>
      <w:pPr>
        <w:pStyle w:val="19"/>
        <w:numPr>
          <w:ilvl w:val="0"/>
          <w:numId w:val="5"/>
        </w:numPr>
        <w:spacing w:after="312" w:afterLines="0"/>
        <w:ind w:left="0" w:firstLine="480"/>
        <w:rPr>
          <w:szCs w:val="24"/>
        </w:rPr>
      </w:pPr>
      <w:r>
        <w:rPr>
          <w:rFonts w:hint="eastAsia"/>
          <w:szCs w:val="24"/>
        </w:rPr>
        <w:t>方案中应书面说明施工污染源及水土流失防治重点排查情况。</w:t>
      </w:r>
    </w:p>
    <w:p>
      <w:pPr>
        <w:pStyle w:val="19"/>
        <w:numPr>
          <w:ilvl w:val="0"/>
          <w:numId w:val="4"/>
        </w:numPr>
        <w:spacing w:afterLines="0"/>
        <w:ind w:left="0" w:firstLine="0" w:firstLineChars="0"/>
        <w:rPr>
          <w:szCs w:val="24"/>
        </w:rPr>
      </w:pPr>
      <w:r>
        <w:rPr>
          <w:rFonts w:hint="eastAsia"/>
          <w:szCs w:val="24"/>
        </w:rPr>
        <w:t>《建筑工程施工生态资源保护修复实施方案》</w:t>
      </w:r>
      <w:r>
        <w:rPr>
          <w:szCs w:val="24"/>
        </w:rPr>
        <w:t>编制</w:t>
      </w:r>
      <w:r>
        <w:rPr>
          <w:rFonts w:hint="eastAsia"/>
          <w:szCs w:val="24"/>
        </w:rPr>
        <w:t>应包含的</w:t>
      </w:r>
      <w:r>
        <w:rPr>
          <w:szCs w:val="24"/>
        </w:rPr>
        <w:t>内容</w:t>
      </w:r>
      <w:r>
        <w:rPr>
          <w:rFonts w:hint="eastAsia"/>
          <w:szCs w:val="24"/>
        </w:rPr>
        <w:t>：</w:t>
      </w:r>
    </w:p>
    <w:p>
      <w:pPr>
        <w:pStyle w:val="19"/>
        <w:numPr>
          <w:ilvl w:val="0"/>
          <w:numId w:val="6"/>
        </w:numPr>
        <w:spacing w:afterLines="0"/>
        <w:ind w:left="0" w:firstLine="480"/>
        <w:rPr>
          <w:szCs w:val="24"/>
        </w:rPr>
      </w:pPr>
      <w:r>
        <w:rPr>
          <w:rFonts w:hint="eastAsia"/>
          <w:szCs w:val="24"/>
        </w:rPr>
        <w:t>施工</w:t>
      </w:r>
      <w:r>
        <w:rPr>
          <w:szCs w:val="24"/>
        </w:rPr>
        <w:t>生态保护措施</w:t>
      </w:r>
      <w:r>
        <w:rPr>
          <w:rFonts w:hint="eastAsia"/>
          <w:szCs w:val="24"/>
        </w:rPr>
        <w:t>。应</w:t>
      </w:r>
      <w:r>
        <w:rPr>
          <w:szCs w:val="24"/>
        </w:rPr>
        <w:t>制定</w:t>
      </w:r>
      <w:r>
        <w:rPr>
          <w:rFonts w:hint="eastAsia"/>
          <w:szCs w:val="24"/>
        </w:rPr>
        <w:t>包含施工</w:t>
      </w:r>
      <w:r>
        <w:rPr>
          <w:szCs w:val="24"/>
        </w:rPr>
        <w:t>固体废弃物污染</w:t>
      </w:r>
      <w:r>
        <w:rPr>
          <w:rFonts w:hint="eastAsia"/>
          <w:szCs w:val="24"/>
        </w:rPr>
        <w:t>、水污染、扬尘、噪声和土地裸露等</w:t>
      </w:r>
      <w:r>
        <w:rPr>
          <w:szCs w:val="24"/>
        </w:rPr>
        <w:t>生态</w:t>
      </w:r>
      <w:r>
        <w:rPr>
          <w:rFonts w:hint="eastAsia"/>
          <w:szCs w:val="24"/>
        </w:rPr>
        <w:t>环境</w:t>
      </w:r>
      <w:r>
        <w:rPr>
          <w:szCs w:val="24"/>
        </w:rPr>
        <w:t>管理计划, 采取有效措施，降低环境负荷。</w:t>
      </w:r>
    </w:p>
    <w:p>
      <w:pPr>
        <w:pStyle w:val="19"/>
        <w:numPr>
          <w:ilvl w:val="0"/>
          <w:numId w:val="6"/>
        </w:numPr>
        <w:spacing w:afterLines="0"/>
        <w:ind w:left="0" w:firstLine="480"/>
        <w:rPr>
          <w:szCs w:val="24"/>
        </w:rPr>
      </w:pPr>
      <w:r>
        <w:rPr>
          <w:rFonts w:hint="eastAsia"/>
          <w:szCs w:val="24"/>
        </w:rPr>
        <w:t>施工</w:t>
      </w:r>
      <w:r>
        <w:rPr>
          <w:szCs w:val="24"/>
        </w:rPr>
        <w:t>节材措施</w:t>
      </w:r>
      <w:r>
        <w:rPr>
          <w:rFonts w:hint="eastAsia"/>
          <w:szCs w:val="24"/>
        </w:rPr>
        <w:t>。应</w:t>
      </w:r>
      <w:r>
        <w:rPr>
          <w:szCs w:val="24"/>
        </w:rPr>
        <w:t>在保证工程安全与质量的前提下，制定节材措施。如进行施工方案的节材优化，建筑垃圾减量化，尽量利用可循环材料等。</w:t>
      </w:r>
    </w:p>
    <w:p>
      <w:pPr>
        <w:pStyle w:val="19"/>
        <w:numPr>
          <w:ilvl w:val="0"/>
          <w:numId w:val="6"/>
        </w:numPr>
        <w:spacing w:afterLines="0"/>
        <w:ind w:left="0" w:firstLine="480"/>
        <w:rPr>
          <w:szCs w:val="24"/>
        </w:rPr>
      </w:pPr>
      <w:r>
        <w:rPr>
          <w:rFonts w:hint="eastAsia"/>
          <w:szCs w:val="24"/>
        </w:rPr>
        <w:t>施工</w:t>
      </w:r>
      <w:r>
        <w:rPr>
          <w:szCs w:val="24"/>
        </w:rPr>
        <w:t>节水措施</w:t>
      </w:r>
      <w:r>
        <w:rPr>
          <w:rFonts w:hint="eastAsia"/>
          <w:szCs w:val="24"/>
        </w:rPr>
        <w:t>。应</w:t>
      </w:r>
      <w:r>
        <w:rPr>
          <w:szCs w:val="24"/>
        </w:rPr>
        <w:t>根据工程所在地的水资源状况，制定节水措施。</w:t>
      </w:r>
    </w:p>
    <w:p>
      <w:pPr>
        <w:pStyle w:val="19"/>
        <w:numPr>
          <w:ilvl w:val="0"/>
          <w:numId w:val="6"/>
        </w:numPr>
        <w:spacing w:afterLines="0"/>
        <w:ind w:left="0" w:firstLine="480"/>
        <w:rPr>
          <w:szCs w:val="24"/>
        </w:rPr>
      </w:pPr>
      <w:r>
        <w:rPr>
          <w:rFonts w:hint="eastAsia"/>
          <w:szCs w:val="24"/>
        </w:rPr>
        <w:t>施工</w:t>
      </w:r>
      <w:r>
        <w:rPr>
          <w:szCs w:val="24"/>
        </w:rPr>
        <w:t>节能措施</w:t>
      </w:r>
      <w:r>
        <w:rPr>
          <w:rFonts w:hint="eastAsia"/>
          <w:szCs w:val="24"/>
        </w:rPr>
        <w:t>。应</w:t>
      </w:r>
      <w:r>
        <w:rPr>
          <w:szCs w:val="24"/>
        </w:rPr>
        <w:t>进行施工节能策划，确定目标，制定节能措施。</w:t>
      </w:r>
    </w:p>
    <w:p>
      <w:pPr>
        <w:pStyle w:val="19"/>
        <w:numPr>
          <w:ilvl w:val="0"/>
          <w:numId w:val="6"/>
        </w:numPr>
        <w:spacing w:afterLines="0"/>
        <w:ind w:left="0" w:firstLine="480"/>
        <w:rPr>
          <w:szCs w:val="24"/>
        </w:rPr>
      </w:pPr>
      <w:r>
        <w:rPr>
          <w:rFonts w:hint="eastAsia"/>
          <w:szCs w:val="24"/>
        </w:rPr>
        <w:t>施工节约用地和</w:t>
      </w:r>
      <w:r>
        <w:rPr>
          <w:szCs w:val="24"/>
        </w:rPr>
        <w:t>用地保护措施</w:t>
      </w:r>
      <w:r>
        <w:rPr>
          <w:rFonts w:hint="eastAsia"/>
          <w:szCs w:val="24"/>
        </w:rPr>
        <w:t>。应</w:t>
      </w:r>
      <w:r>
        <w:rPr>
          <w:szCs w:val="24"/>
        </w:rPr>
        <w:t>制定临时用地指标、施工总平面布置规划及临时用地节地措施等。</w:t>
      </w:r>
    </w:p>
    <w:p>
      <w:pPr>
        <w:pStyle w:val="19"/>
        <w:numPr>
          <w:ilvl w:val="0"/>
          <w:numId w:val="6"/>
        </w:numPr>
        <w:spacing w:after="312"/>
        <w:ind w:left="0" w:firstLine="480"/>
        <w:rPr>
          <w:szCs w:val="24"/>
        </w:rPr>
      </w:pPr>
      <w:r>
        <w:rPr>
          <w:rFonts w:hint="eastAsia"/>
          <w:szCs w:val="24"/>
        </w:rPr>
        <w:t>项目完工后临时用地生态环境修复方案，如拆除临时设施产生的废水、固体废物的无害化处理、场地平整、土体加固、排水防护、绿化复植等。</w:t>
      </w:r>
    </w:p>
    <w:p>
      <w:pPr>
        <w:pStyle w:val="19"/>
        <w:numPr>
          <w:ilvl w:val="0"/>
          <w:numId w:val="4"/>
        </w:numPr>
        <w:spacing w:after="312"/>
        <w:ind w:left="0" w:firstLine="0" w:firstLineChars="0"/>
        <w:rPr>
          <w:b/>
          <w:szCs w:val="24"/>
        </w:rPr>
      </w:pPr>
      <w:r>
        <w:rPr>
          <w:rFonts w:hint="eastAsia"/>
          <w:szCs w:val="24"/>
        </w:rPr>
        <w:t>《建筑工程施工生态资源保护修复实施方案》</w:t>
      </w:r>
      <w:r>
        <w:rPr>
          <w:szCs w:val="24"/>
        </w:rPr>
        <w:t>编制</w:t>
      </w:r>
      <w:r>
        <w:rPr>
          <w:rFonts w:hint="eastAsia"/>
          <w:szCs w:val="24"/>
        </w:rPr>
        <w:t>完成后，由施工单位上报监理单位。监理单位会同建设单位组织相关专家论证评审。方案通过评审后由监理单位监督施工单位实施。项目建设过程中发生设计变更时，施工单位应同步编制施工生态资源保护修复变更方案，上报建设单位、监理单位批准后实施。</w:t>
      </w:r>
    </w:p>
    <w:p>
      <w:pPr>
        <w:spacing w:afterLines="0"/>
      </w:pPr>
    </w:p>
    <w:p>
      <w:pPr>
        <w:spacing w:afterLines="0"/>
      </w:pPr>
    </w:p>
    <w:p>
      <w:pPr>
        <w:spacing w:afterLines="0"/>
        <w:sectPr>
          <w:pgSz w:w="11906" w:h="16838"/>
          <w:pgMar w:top="1440" w:right="1800" w:bottom="1440" w:left="1800" w:header="851" w:footer="992" w:gutter="0"/>
          <w:cols w:space="425" w:num="1"/>
          <w:docGrid w:type="lines" w:linePitch="312" w:charSpace="0"/>
        </w:sectPr>
      </w:pPr>
    </w:p>
    <w:p>
      <w:pPr>
        <w:pStyle w:val="2"/>
        <w:numPr>
          <w:ilvl w:val="0"/>
          <w:numId w:val="2"/>
        </w:numPr>
        <w:spacing w:after="312"/>
      </w:pPr>
      <w:bookmarkStart w:id="13" w:name="_Toc5809701"/>
      <w:r>
        <w:rPr>
          <w:rFonts w:hint="eastAsia"/>
        </w:rPr>
        <w:t>建筑工程</w:t>
      </w:r>
      <w:bookmarkEnd w:id="13"/>
    </w:p>
    <w:p>
      <w:pPr>
        <w:pStyle w:val="3"/>
        <w:numPr>
          <w:ilvl w:val="1"/>
          <w:numId w:val="2"/>
        </w:numPr>
        <w:spacing w:after="312"/>
        <w:jc w:val="center"/>
      </w:pPr>
      <w:bookmarkStart w:id="14" w:name="_Toc5809702"/>
      <w:r>
        <w:t>施工现场布置管理</w:t>
      </w:r>
      <w:bookmarkEnd w:id="14"/>
    </w:p>
    <w:p>
      <w:pPr>
        <w:pStyle w:val="19"/>
        <w:numPr>
          <w:ilvl w:val="2"/>
          <w:numId w:val="7"/>
        </w:numPr>
        <w:spacing w:afterLines="0"/>
        <w:ind w:firstLineChars="0"/>
        <w:rPr>
          <w:szCs w:val="24"/>
        </w:rPr>
      </w:pPr>
      <w:r>
        <w:rPr>
          <w:rFonts w:hint="eastAsia"/>
          <w:szCs w:val="24"/>
        </w:rPr>
        <w:t>施工围挡</w:t>
      </w:r>
    </w:p>
    <w:p>
      <w:pPr>
        <w:pStyle w:val="19"/>
        <w:numPr>
          <w:ilvl w:val="0"/>
          <w:numId w:val="8"/>
        </w:numPr>
        <w:spacing w:afterLines="0"/>
        <w:ind w:left="0" w:firstLine="480"/>
        <w:rPr>
          <w:szCs w:val="24"/>
        </w:rPr>
      </w:pPr>
      <w:r>
        <w:rPr>
          <w:szCs w:val="24"/>
        </w:rPr>
        <w:t>施工现场边界</w:t>
      </w:r>
      <w:r>
        <w:rPr>
          <w:rFonts w:hint="eastAsia"/>
          <w:szCs w:val="24"/>
        </w:rPr>
        <w:t>实行封闭管理，并</w:t>
      </w:r>
      <w:r>
        <w:rPr>
          <w:szCs w:val="24"/>
        </w:rPr>
        <w:t>设置围挡，高度不得小于</w:t>
      </w:r>
      <w:r>
        <w:rPr>
          <w:rFonts w:hint="eastAsia"/>
          <w:szCs w:val="24"/>
        </w:rPr>
        <w:t>2.5</w:t>
      </w:r>
      <w:r>
        <w:rPr>
          <w:szCs w:val="24"/>
        </w:rPr>
        <w:t>m，</w:t>
      </w:r>
      <w:r>
        <w:rPr>
          <w:rFonts w:hint="eastAsia"/>
          <w:szCs w:val="24"/>
        </w:rPr>
        <w:t>应确保挡墙牢固、稳定、整洁，且与周边环境色彩协调</w:t>
      </w:r>
      <w:r>
        <w:rPr>
          <w:szCs w:val="24"/>
        </w:rPr>
        <w:t>。</w:t>
      </w:r>
    </w:p>
    <w:p>
      <w:pPr>
        <w:spacing w:after="312" w:afterLines="0"/>
        <w:jc w:val="center"/>
        <w:rPr>
          <w:szCs w:val="24"/>
        </w:rPr>
      </w:pPr>
      <w:r>
        <w:rPr>
          <w:szCs w:val="24"/>
        </w:rPr>
        <w:drawing>
          <wp:inline distT="0" distB="0" distL="0" distR="0">
            <wp:extent cx="3267075" cy="2212975"/>
            <wp:effectExtent l="0" t="0" r="0" b="0"/>
            <wp:docPr id="9219" name="图片框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图片框 25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72435" cy="2216847"/>
                    </a:xfrm>
                    <a:prstGeom prst="rect">
                      <a:avLst/>
                    </a:prstGeom>
                    <a:noFill/>
                    <a:ln>
                      <a:noFill/>
                    </a:ln>
                  </pic:spPr>
                </pic:pic>
              </a:graphicData>
            </a:graphic>
          </wp:inline>
        </w:drawing>
      </w:r>
    </w:p>
    <w:p>
      <w:pPr>
        <w:spacing w:after="312" w:afterLines="0"/>
        <w:jc w:val="center"/>
        <w:rPr>
          <w:szCs w:val="24"/>
        </w:rPr>
      </w:pPr>
      <w:r>
        <w:rPr>
          <w:rFonts w:hint="eastAsia"/>
          <w:szCs w:val="24"/>
        </w:rPr>
        <w:t>图5.1.1-1 施工围挡设置示意图</w:t>
      </w:r>
    </w:p>
    <w:p>
      <w:pPr>
        <w:pStyle w:val="19"/>
        <w:numPr>
          <w:ilvl w:val="0"/>
          <w:numId w:val="8"/>
        </w:numPr>
        <w:spacing w:afterLines="0"/>
        <w:ind w:left="0" w:firstLine="480"/>
        <w:rPr>
          <w:szCs w:val="24"/>
        </w:rPr>
      </w:pPr>
      <w:r>
        <w:rPr>
          <w:szCs w:val="24"/>
        </w:rPr>
        <w:t>施工现场应</w:t>
      </w:r>
      <w:r>
        <w:rPr>
          <w:rFonts w:hint="eastAsia"/>
          <w:szCs w:val="24"/>
        </w:rPr>
        <w:t>实行封闭式管理，</w:t>
      </w:r>
      <w:r>
        <w:rPr>
          <w:szCs w:val="24"/>
        </w:rPr>
        <w:t>设置围挡， 围挡外侧与道路衔接处采用绿化或者硬化铺装措施。围挡必须稳固、安全、整洁、美观。</w:t>
      </w:r>
    </w:p>
    <w:p>
      <w:pPr>
        <w:spacing w:after="312" w:afterLines="0"/>
        <w:jc w:val="center"/>
        <w:rPr>
          <w:szCs w:val="24"/>
        </w:rPr>
      </w:pPr>
      <w:r>
        <w:rPr>
          <w:szCs w:val="24"/>
        </w:rPr>
        <w:drawing>
          <wp:inline distT="0" distB="0" distL="0" distR="0">
            <wp:extent cx="3350260" cy="2162175"/>
            <wp:effectExtent l="0" t="0" r="2540" b="0"/>
            <wp:docPr id="14338" name="Picture 6" descr="64756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6" descr="647563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58114" cy="2166838"/>
                    </a:xfrm>
                    <a:prstGeom prst="rect">
                      <a:avLst/>
                    </a:prstGeom>
                    <a:noFill/>
                    <a:ln>
                      <a:noFill/>
                    </a:ln>
                  </pic:spPr>
                </pic:pic>
              </a:graphicData>
            </a:graphic>
          </wp:inline>
        </w:drawing>
      </w:r>
    </w:p>
    <w:p>
      <w:pPr>
        <w:spacing w:after="312" w:afterLines="0"/>
        <w:jc w:val="center"/>
        <w:rPr>
          <w:szCs w:val="24"/>
        </w:rPr>
      </w:pPr>
      <w:r>
        <w:rPr>
          <w:rFonts w:hint="eastAsia"/>
          <w:szCs w:val="24"/>
        </w:rPr>
        <w:t>图5.1.1 -2  围挡效果图</w:t>
      </w:r>
    </w:p>
    <w:p>
      <w:pPr>
        <w:spacing w:after="312" w:afterLines="0"/>
        <w:jc w:val="center"/>
        <w:rPr>
          <w:szCs w:val="24"/>
        </w:rPr>
      </w:pPr>
    </w:p>
    <w:p>
      <w:pPr>
        <w:pStyle w:val="19"/>
        <w:numPr>
          <w:ilvl w:val="0"/>
          <w:numId w:val="8"/>
        </w:numPr>
        <w:spacing w:afterLines="0"/>
        <w:ind w:left="0" w:firstLine="480"/>
        <w:rPr>
          <w:szCs w:val="24"/>
        </w:rPr>
      </w:pPr>
      <w:r>
        <w:rPr>
          <w:rFonts w:hint="eastAsia"/>
          <w:szCs w:val="24"/>
        </w:rPr>
        <w:t>市区主干道两侧工地</w:t>
      </w:r>
      <w:r>
        <w:rPr>
          <w:szCs w:val="24"/>
        </w:rPr>
        <w:t>围挡高度</w:t>
      </w:r>
      <w:r>
        <w:rPr>
          <w:rFonts w:hint="eastAsia"/>
          <w:szCs w:val="24"/>
        </w:rPr>
        <w:t>不低于</w:t>
      </w:r>
      <w:r>
        <w:rPr>
          <w:szCs w:val="24"/>
        </w:rPr>
        <w:t>2.5 米，</w:t>
      </w:r>
      <w:r>
        <w:rPr>
          <w:rFonts w:hint="eastAsia"/>
          <w:szCs w:val="24"/>
        </w:rPr>
        <w:t>次干道两侧围挡高度不低于2.0m。</w:t>
      </w:r>
    </w:p>
    <w:p>
      <w:pPr>
        <w:pStyle w:val="19"/>
        <w:numPr>
          <w:ilvl w:val="0"/>
          <w:numId w:val="8"/>
        </w:numPr>
        <w:spacing w:after="312"/>
        <w:ind w:left="0" w:firstLine="480"/>
        <w:rPr>
          <w:szCs w:val="24"/>
        </w:rPr>
      </w:pPr>
      <w:r>
        <w:rPr>
          <w:szCs w:val="24"/>
        </w:rPr>
        <w:t>施工单位负责围挡日常清洁及维护。对破损、变形的围挡应及时修复、更换。</w:t>
      </w:r>
    </w:p>
    <w:p>
      <w:pPr>
        <w:pStyle w:val="19"/>
        <w:numPr>
          <w:ilvl w:val="2"/>
          <w:numId w:val="7"/>
        </w:numPr>
        <w:spacing w:afterLines="0"/>
        <w:ind w:left="0" w:firstLine="0" w:firstLineChars="0"/>
        <w:rPr>
          <w:szCs w:val="24"/>
        </w:rPr>
      </w:pPr>
      <w:r>
        <w:rPr>
          <w:szCs w:val="24"/>
        </w:rPr>
        <w:t>标志牌</w:t>
      </w:r>
    </w:p>
    <w:p>
      <w:pPr>
        <w:pStyle w:val="19"/>
        <w:numPr>
          <w:ilvl w:val="0"/>
          <w:numId w:val="9"/>
        </w:numPr>
        <w:spacing w:afterLines="0"/>
        <w:ind w:left="0" w:firstLine="480"/>
        <w:rPr>
          <w:szCs w:val="24"/>
        </w:rPr>
      </w:pPr>
      <w:r>
        <w:rPr>
          <w:szCs w:val="24"/>
        </w:rPr>
        <w:t>施工现场应设置七牌一图，即施工总平面图、工程概况牌、绿色施工管理牌、组织网络牌、安全管理牌、防火须知牌、环保措施牌和工会组织宣传牌。</w:t>
      </w:r>
    </w:p>
    <w:p>
      <w:pPr>
        <w:spacing w:after="312" w:afterLines="0"/>
        <w:jc w:val="center"/>
        <w:rPr>
          <w:szCs w:val="24"/>
        </w:rPr>
      </w:pPr>
      <w:r>
        <w:drawing>
          <wp:inline distT="0" distB="0" distL="0" distR="0">
            <wp:extent cx="4314825" cy="1670685"/>
            <wp:effectExtent l="0" t="0" r="0" b="5715"/>
            <wp:docPr id="70659" name="Picture 3" descr="QQ截图201505101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3" descr="QQ截图201505101944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24234" cy="1674821"/>
                    </a:xfrm>
                    <a:prstGeom prst="rect">
                      <a:avLst/>
                    </a:prstGeom>
                    <a:noFill/>
                    <a:ln>
                      <a:noFill/>
                    </a:ln>
                  </pic:spPr>
                </pic:pic>
              </a:graphicData>
            </a:graphic>
          </wp:inline>
        </w:drawing>
      </w:r>
    </w:p>
    <w:p>
      <w:pPr>
        <w:spacing w:after="312" w:afterLines="0"/>
        <w:jc w:val="center"/>
        <w:rPr>
          <w:szCs w:val="24"/>
        </w:rPr>
      </w:pPr>
      <w:r>
        <w:rPr>
          <w:rFonts w:hint="eastAsia"/>
          <w:szCs w:val="24"/>
        </w:rPr>
        <w:t>图5.1.2-1 禁止标志牌</w:t>
      </w:r>
    </w:p>
    <w:p>
      <w:pPr>
        <w:spacing w:after="312" w:afterLines="0"/>
        <w:jc w:val="center"/>
        <w:rPr>
          <w:szCs w:val="24"/>
        </w:rPr>
      </w:pPr>
      <w:r>
        <w:rPr>
          <w:szCs w:val="24"/>
        </w:rPr>
        <w:drawing>
          <wp:inline distT="0" distB="0" distL="0" distR="0">
            <wp:extent cx="4457700" cy="1726565"/>
            <wp:effectExtent l="0" t="0" r="0" b="6985"/>
            <wp:docPr id="72708" name="Picture 4" descr="QQ截图2015051019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descr="QQ截图201505101948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55554" cy="1726219"/>
                    </a:xfrm>
                    <a:prstGeom prst="rect">
                      <a:avLst/>
                    </a:prstGeom>
                    <a:noFill/>
                    <a:ln>
                      <a:noFill/>
                    </a:ln>
                  </pic:spPr>
                </pic:pic>
              </a:graphicData>
            </a:graphic>
          </wp:inline>
        </w:drawing>
      </w:r>
    </w:p>
    <w:p>
      <w:pPr>
        <w:spacing w:after="312" w:afterLines="0"/>
        <w:jc w:val="center"/>
        <w:rPr>
          <w:szCs w:val="24"/>
        </w:rPr>
      </w:pPr>
      <w:r>
        <w:rPr>
          <w:rFonts w:hint="eastAsia"/>
          <w:szCs w:val="24"/>
        </w:rPr>
        <w:t>图5.1.2-2提示标志牌</w:t>
      </w:r>
    </w:p>
    <w:p>
      <w:pPr>
        <w:pStyle w:val="19"/>
        <w:numPr>
          <w:ilvl w:val="0"/>
          <w:numId w:val="9"/>
        </w:numPr>
        <w:spacing w:afterLines="0"/>
        <w:ind w:left="0" w:firstLine="480"/>
        <w:rPr>
          <w:szCs w:val="24"/>
        </w:rPr>
      </w:pPr>
      <w:r>
        <w:rPr>
          <w:szCs w:val="24"/>
        </w:rPr>
        <w:t>施工标志牌应标明项目名称，建设单位、设计单位、施工单位、监理单位名称、项目经理姓名、联系电话、工会组织负责人、建筑工人维权投诉电话，开工和计划竣工日期及施工许可证批准文号等。</w:t>
      </w:r>
    </w:p>
    <w:p>
      <w:pPr>
        <w:pStyle w:val="19"/>
        <w:spacing w:afterLines="0"/>
        <w:ind w:left="480" w:firstLine="0" w:firstLineChars="0"/>
        <w:jc w:val="center"/>
        <w:rPr>
          <w:szCs w:val="24"/>
        </w:rPr>
      </w:pPr>
      <w:r>
        <w:rPr>
          <w:szCs w:val="24"/>
        </w:rPr>
        <w:drawing>
          <wp:inline distT="0" distB="0" distL="0" distR="0">
            <wp:extent cx="3572510" cy="2143125"/>
            <wp:effectExtent l="0" t="0" r="8890" b="0"/>
            <wp:docPr id="17411" name="图片 35" descr="E:\安全资料\相片\文明施工图片\03_2345看图王.jpg03_2345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图片 35" descr="E:\安全资料\相片\文明施工图片\03_2345看图王.jpg03_2345看图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75571" cy="2144667"/>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图5.1.2-3 工程告示牌</w:t>
      </w:r>
    </w:p>
    <w:p>
      <w:pPr>
        <w:pStyle w:val="19"/>
        <w:spacing w:afterLines="0"/>
        <w:ind w:left="480" w:firstLine="0" w:firstLineChars="0"/>
        <w:jc w:val="center"/>
        <w:rPr>
          <w:szCs w:val="24"/>
        </w:rPr>
      </w:pPr>
      <w:r>
        <w:drawing>
          <wp:inline distT="0" distB="0" distL="0" distR="0">
            <wp:extent cx="3171825" cy="2464435"/>
            <wp:effectExtent l="0" t="0" r="0" b="0"/>
            <wp:docPr id="8" name="图片 8" descr="https://timgsa.baidu.com/timg?image&amp;quality=80&amp;size=b9999_10000&amp;sec=1542792381700&amp;di=2ce7b758ec31a3c33263607b1d758c29&amp;imgtype=0&amp;src=http%3A%2F%2Fiinfo.zhulong.com%2Fstatic%2Ftech%2Fnew_miniature%2F1740%2F2015171642501555.jpg%3Ff%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timgsa.baidu.com/timg?image&amp;quality=80&amp;size=b9999_10000&amp;sec=1542792381700&amp;di=2ce7b758ec31a3c33263607b1d758c29&amp;imgtype=0&amp;src=http%3A%2F%2Fiinfo.zhulong.com%2Fstatic%2Ftech%2Fnew_miniature%2F1740%2F2015171642501555.jpg%3Ff%3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74827" cy="2466773"/>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图5.1.2-4 工程标志牌</w:t>
      </w:r>
    </w:p>
    <w:p>
      <w:pPr>
        <w:pStyle w:val="19"/>
        <w:numPr>
          <w:ilvl w:val="0"/>
          <w:numId w:val="9"/>
        </w:numPr>
        <w:spacing w:afterLines="0"/>
        <w:ind w:left="0" w:firstLine="480"/>
        <w:rPr>
          <w:szCs w:val="24"/>
        </w:rPr>
      </w:pPr>
      <w:r>
        <w:rPr>
          <w:rFonts w:hint="eastAsia"/>
          <w:szCs w:val="24"/>
        </w:rPr>
        <w:t>施工现场应有对建筑施工生态保护修复要求进行挂牌警示。</w:t>
      </w:r>
    </w:p>
    <w:p>
      <w:pPr>
        <w:pStyle w:val="19"/>
        <w:spacing w:afterLines="0"/>
        <w:ind w:firstLine="0" w:firstLineChars="0"/>
        <w:jc w:val="center"/>
        <w:rPr>
          <w:szCs w:val="24"/>
        </w:rPr>
      </w:pPr>
      <w:r>
        <w:drawing>
          <wp:inline distT="0" distB="0" distL="0" distR="0">
            <wp:extent cx="2981325" cy="1984375"/>
            <wp:effectExtent l="0" t="0" r="0" b="0"/>
            <wp:docPr id="14350" name="图片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 name="图片 14350"/>
                    <pic:cNvPicPr>
                      <a:picLocks noChangeAspect="1"/>
                    </pic:cNvPicPr>
                  </pic:nvPicPr>
                  <pic:blipFill>
                    <a:blip r:embed="rId18"/>
                    <a:stretch>
                      <a:fillRect/>
                    </a:stretch>
                  </pic:blipFill>
                  <pic:spPr>
                    <a:xfrm>
                      <a:off x="0" y="0"/>
                      <a:ext cx="2979890" cy="1983490"/>
                    </a:xfrm>
                    <a:prstGeom prst="rect">
                      <a:avLst/>
                    </a:prstGeom>
                  </pic:spPr>
                </pic:pic>
              </a:graphicData>
            </a:graphic>
          </wp:inline>
        </w:drawing>
      </w:r>
    </w:p>
    <w:p>
      <w:pPr>
        <w:pStyle w:val="19"/>
        <w:spacing w:afterLines="0"/>
        <w:ind w:firstLine="0" w:firstLineChars="0"/>
        <w:jc w:val="center"/>
        <w:rPr>
          <w:szCs w:val="24"/>
        </w:rPr>
      </w:pPr>
      <w:r>
        <w:rPr>
          <w:rFonts w:hint="eastAsia"/>
          <w:szCs w:val="24"/>
        </w:rPr>
        <w:t>图5.1.2-5 施工现场生态保护修复要求警示</w:t>
      </w:r>
    </w:p>
    <w:p>
      <w:pPr>
        <w:pStyle w:val="19"/>
        <w:numPr>
          <w:ilvl w:val="2"/>
          <w:numId w:val="7"/>
        </w:numPr>
        <w:spacing w:afterLines="0"/>
        <w:ind w:left="0" w:firstLine="0" w:firstLineChars="0"/>
        <w:rPr>
          <w:szCs w:val="24"/>
        </w:rPr>
      </w:pPr>
      <w:r>
        <w:rPr>
          <w:szCs w:val="24"/>
        </w:rPr>
        <w:t>临时</w:t>
      </w:r>
      <w:r>
        <w:rPr>
          <w:rFonts w:hint="eastAsia"/>
          <w:szCs w:val="24"/>
        </w:rPr>
        <w:t>搭建</w:t>
      </w:r>
      <w:r>
        <w:rPr>
          <w:szCs w:val="24"/>
        </w:rPr>
        <w:t>设施</w:t>
      </w:r>
    </w:p>
    <w:p>
      <w:pPr>
        <w:pStyle w:val="19"/>
        <w:numPr>
          <w:ilvl w:val="0"/>
          <w:numId w:val="10"/>
        </w:numPr>
        <w:spacing w:afterLines="0"/>
        <w:ind w:left="0" w:firstLine="480"/>
        <w:rPr>
          <w:szCs w:val="24"/>
        </w:rPr>
      </w:pPr>
      <w:r>
        <w:rPr>
          <w:szCs w:val="24"/>
        </w:rPr>
        <w:t>在施工现场搭建的临时建筑物应采用轻钢结构标准型拼装活动板房，并设置符合安全规定的通道和钢制楼梯。</w:t>
      </w:r>
    </w:p>
    <w:p>
      <w:pPr>
        <w:pStyle w:val="19"/>
        <w:spacing w:afterLines="0"/>
        <w:ind w:left="480" w:firstLine="0" w:firstLineChars="0"/>
        <w:jc w:val="center"/>
        <w:rPr>
          <w:szCs w:val="24"/>
        </w:rPr>
      </w:pPr>
      <w:r>
        <w:drawing>
          <wp:inline distT="0" distB="0" distL="0" distR="0">
            <wp:extent cx="3143250" cy="2000885"/>
            <wp:effectExtent l="0" t="0" r="0" b="0"/>
            <wp:docPr id="3" name="图片 3" descr="https://timgsa.baidu.com/timg?image&amp;quality=80&amp;size=b9999_10000&amp;sec=1541657194964&amp;di=c4bf98debdbd94da9590d24a52babde4&amp;imgtype=0&amp;src=http%3A%2F%2Fimg002.hc360.cn%2Fhb%2FMTQ2OTA3NDc1NjA2MDk5NTczMjIzMA%3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541657194964&amp;di=c4bf98debdbd94da9590d24a52babde4&amp;imgtype=0&amp;src=http%3A%2F%2Fimg002.hc360.cn%2Fhb%2FMTQ2OTA3NDc1NjA2MDk5NTczMjIzMA%3D%3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51081" cy="2006492"/>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图5.1.3-1 临时搭建轻钢活动板房</w:t>
      </w:r>
    </w:p>
    <w:p>
      <w:pPr>
        <w:pStyle w:val="19"/>
        <w:numPr>
          <w:ilvl w:val="0"/>
          <w:numId w:val="10"/>
        </w:numPr>
        <w:spacing w:afterLines="0"/>
        <w:ind w:left="0" w:firstLine="480"/>
        <w:rPr>
          <w:szCs w:val="24"/>
        </w:rPr>
      </w:pPr>
      <w:r>
        <w:rPr>
          <w:rFonts w:hint="eastAsia"/>
          <w:szCs w:val="24"/>
        </w:rPr>
        <w:t>施工现场搭建的临时建筑物高度不宜超过二层，并设置安全通道。</w:t>
      </w:r>
    </w:p>
    <w:p>
      <w:pPr>
        <w:pStyle w:val="19"/>
        <w:numPr>
          <w:ilvl w:val="0"/>
          <w:numId w:val="10"/>
        </w:numPr>
        <w:spacing w:afterLines="0"/>
        <w:ind w:left="0" w:firstLine="480"/>
        <w:rPr>
          <w:szCs w:val="24"/>
        </w:rPr>
      </w:pPr>
      <w:r>
        <w:rPr>
          <w:szCs w:val="24"/>
        </w:rPr>
        <w:t>禁止</w:t>
      </w:r>
      <w:r>
        <w:rPr>
          <w:rFonts w:hint="eastAsia"/>
          <w:szCs w:val="24"/>
        </w:rPr>
        <w:t>在施工现场</w:t>
      </w:r>
      <w:r>
        <w:rPr>
          <w:szCs w:val="24"/>
        </w:rPr>
        <w:t>搭建木结构房屋、帐篷及利用现场围挡搭建临时房屋或设施。施工临建应考虑抗风、抗震、防雷、防火设计。</w:t>
      </w:r>
    </w:p>
    <w:p>
      <w:pPr>
        <w:pStyle w:val="19"/>
        <w:numPr>
          <w:ilvl w:val="0"/>
          <w:numId w:val="10"/>
        </w:numPr>
        <w:spacing w:afterLines="0"/>
        <w:ind w:left="0" w:firstLine="480"/>
        <w:rPr>
          <w:szCs w:val="24"/>
        </w:rPr>
      </w:pPr>
      <w:r>
        <w:rPr>
          <w:szCs w:val="24"/>
        </w:rPr>
        <w:t>禁止在尚未竣工的建筑物内设置员工集体宿舍。</w:t>
      </w:r>
    </w:p>
    <w:p>
      <w:pPr>
        <w:pStyle w:val="19"/>
        <w:numPr>
          <w:ilvl w:val="0"/>
          <w:numId w:val="10"/>
        </w:numPr>
        <w:spacing w:afterLines="0"/>
        <w:ind w:left="0" w:firstLine="480"/>
        <w:rPr>
          <w:szCs w:val="24"/>
        </w:rPr>
      </w:pPr>
      <w:r>
        <w:rPr>
          <w:rFonts w:hint="eastAsia"/>
          <w:szCs w:val="24"/>
        </w:rPr>
        <w:t>工地应分开设置办公区和生活区。</w:t>
      </w:r>
    </w:p>
    <w:p>
      <w:pPr>
        <w:pStyle w:val="19"/>
        <w:spacing w:afterLines="0"/>
        <w:ind w:left="480" w:firstLine="0" w:firstLineChars="0"/>
        <w:jc w:val="center"/>
        <w:rPr>
          <w:szCs w:val="24"/>
        </w:rPr>
      </w:pPr>
      <w:r>
        <w:drawing>
          <wp:inline distT="0" distB="0" distL="0" distR="0">
            <wp:extent cx="3124200" cy="1911350"/>
            <wp:effectExtent l="0" t="0" r="0" b="0"/>
            <wp:docPr id="14351" name="图片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图片 14351"/>
                    <pic:cNvPicPr>
                      <a:picLocks noChangeAspect="1"/>
                    </pic:cNvPicPr>
                  </pic:nvPicPr>
                  <pic:blipFill>
                    <a:blip r:embed="rId20"/>
                    <a:stretch>
                      <a:fillRect/>
                    </a:stretch>
                  </pic:blipFill>
                  <pic:spPr>
                    <a:xfrm>
                      <a:off x="0" y="0"/>
                      <a:ext cx="3122737" cy="1910870"/>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图5.1.3-2 施工区、生活区分开设置</w:t>
      </w:r>
    </w:p>
    <w:p>
      <w:pPr>
        <w:pStyle w:val="19"/>
        <w:numPr>
          <w:ilvl w:val="0"/>
          <w:numId w:val="10"/>
        </w:numPr>
        <w:spacing w:afterLines="0"/>
        <w:ind w:left="0" w:firstLine="480"/>
        <w:rPr>
          <w:szCs w:val="24"/>
        </w:rPr>
      </w:pPr>
      <w:r>
        <w:rPr>
          <w:szCs w:val="24"/>
        </w:rPr>
        <w:t>禁止在施工区域内用餐。</w:t>
      </w:r>
    </w:p>
    <w:p>
      <w:pPr>
        <w:pStyle w:val="19"/>
        <w:numPr>
          <w:ilvl w:val="0"/>
          <w:numId w:val="10"/>
        </w:numPr>
        <w:spacing w:afterLines="0"/>
        <w:ind w:left="0" w:firstLine="480"/>
        <w:rPr>
          <w:szCs w:val="24"/>
        </w:rPr>
      </w:pPr>
      <w:r>
        <w:rPr>
          <w:rFonts w:hint="eastAsia"/>
          <w:szCs w:val="24"/>
        </w:rPr>
        <w:t>木工加工区、钢筋加工棚应有隔音、防潮和防振等措施。</w:t>
      </w:r>
    </w:p>
    <w:p>
      <w:pPr>
        <w:pStyle w:val="19"/>
        <w:numPr>
          <w:ilvl w:val="0"/>
          <w:numId w:val="10"/>
        </w:numPr>
        <w:spacing w:after="312" w:afterLines="0"/>
        <w:ind w:left="0" w:firstLine="480"/>
        <w:rPr>
          <w:szCs w:val="24"/>
        </w:rPr>
      </w:pPr>
      <w:r>
        <w:rPr>
          <w:szCs w:val="24"/>
        </w:rPr>
        <w:t>厕所应当采用密闭水冲式，安装小流量的设备和器具，地面应铺瓷砖或用混凝土硬化。</w:t>
      </w:r>
    </w:p>
    <w:p>
      <w:pPr>
        <w:pStyle w:val="19"/>
        <w:spacing w:after="312" w:afterLines="0"/>
        <w:ind w:left="480" w:firstLine="0" w:firstLineChars="0"/>
        <w:jc w:val="center"/>
        <w:rPr>
          <w:szCs w:val="24"/>
        </w:rPr>
      </w:pPr>
      <w:r>
        <w:drawing>
          <wp:inline distT="0" distB="0" distL="0" distR="0">
            <wp:extent cx="3171825" cy="2378710"/>
            <wp:effectExtent l="0" t="0" r="0" b="2540"/>
            <wp:docPr id="7" name="图片 7" descr="http://tianzuohuanbao.com/uploads/image/20180503/152531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tianzuohuanbao.com/uploads/image/20180503/15253162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71825" cy="2378869"/>
                    </a:xfrm>
                    <a:prstGeom prst="rect">
                      <a:avLst/>
                    </a:prstGeom>
                    <a:noFill/>
                    <a:ln>
                      <a:noFill/>
                    </a:ln>
                  </pic:spPr>
                </pic:pic>
              </a:graphicData>
            </a:graphic>
          </wp:inline>
        </w:drawing>
      </w:r>
    </w:p>
    <w:p>
      <w:pPr>
        <w:pStyle w:val="19"/>
        <w:spacing w:afterLines="0"/>
        <w:ind w:left="482" w:firstLine="0" w:firstLineChars="0"/>
        <w:jc w:val="center"/>
        <w:rPr>
          <w:szCs w:val="24"/>
        </w:rPr>
      </w:pPr>
      <w:r>
        <w:rPr>
          <w:rFonts w:hint="eastAsia"/>
          <w:szCs w:val="24"/>
        </w:rPr>
        <w:t>图5.1.3-3 密闭冲水式厕所</w:t>
      </w:r>
    </w:p>
    <w:p>
      <w:pPr>
        <w:pStyle w:val="19"/>
        <w:numPr>
          <w:ilvl w:val="0"/>
          <w:numId w:val="10"/>
        </w:numPr>
        <w:spacing w:afterLines="0"/>
        <w:ind w:left="0" w:firstLine="480"/>
        <w:rPr>
          <w:szCs w:val="24"/>
        </w:rPr>
      </w:pPr>
      <w:r>
        <w:rPr>
          <w:rFonts w:hint="eastAsia"/>
          <w:szCs w:val="24"/>
        </w:rPr>
        <w:t>临时搭建的木工棚、油料库等应配备环保型灭火器。</w:t>
      </w:r>
    </w:p>
    <w:p>
      <w:pPr>
        <w:pStyle w:val="19"/>
        <w:spacing w:afterLines="0"/>
        <w:ind w:left="482" w:firstLine="0" w:firstLineChars="0"/>
        <w:jc w:val="center"/>
        <w:rPr>
          <w:szCs w:val="24"/>
        </w:rPr>
      </w:pPr>
      <w:r>
        <w:drawing>
          <wp:inline distT="0" distB="0" distL="0" distR="0">
            <wp:extent cx="2981325" cy="1996440"/>
            <wp:effectExtent l="0" t="0" r="0" b="3810"/>
            <wp:docPr id="26" name="图片 26" descr="https://timgsa.baidu.com/timg?image&amp;quality=80&amp;size=b9999_10000&amp;sec=1543896757030&amp;di=5ef83e6bfe8f76edc85e6569281c51a1&amp;imgtype=0&amp;src=http%3A%2F%2Fimgsrc.baidu.com%2Fimgad%2Fpic%2Fitem%2Ff7246b600c3387441fe651455a0fd9f9d72aa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timgsa.baidu.com/timg?image&amp;quality=80&amp;size=b9999_10000&amp;sec=1543896757030&amp;di=5ef83e6bfe8f76edc85e6569281c51a1&amp;imgtype=0&amp;src=http%3A%2F%2Fimgsrc.baidu.com%2Fimgad%2Fpic%2Fitem%2Ff7246b600c3387441fe651455a0fd9f9d72aa0e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80323" cy="1996138"/>
                    </a:xfrm>
                    <a:prstGeom prst="rect">
                      <a:avLst/>
                    </a:prstGeom>
                    <a:noFill/>
                    <a:ln>
                      <a:noFill/>
                    </a:ln>
                  </pic:spPr>
                </pic:pic>
              </a:graphicData>
            </a:graphic>
          </wp:inline>
        </w:drawing>
      </w:r>
    </w:p>
    <w:p>
      <w:pPr>
        <w:pStyle w:val="19"/>
        <w:spacing w:after="312" w:afterLines="0"/>
        <w:ind w:left="480" w:firstLine="0" w:firstLineChars="0"/>
        <w:jc w:val="center"/>
        <w:rPr>
          <w:szCs w:val="24"/>
        </w:rPr>
      </w:pPr>
      <w:r>
        <w:rPr>
          <w:rFonts w:hint="eastAsia"/>
          <w:szCs w:val="24"/>
        </w:rPr>
        <w:t>图5.1.3-4 环保型灭火器</w:t>
      </w:r>
    </w:p>
    <w:p>
      <w:pPr>
        <w:pStyle w:val="19"/>
        <w:numPr>
          <w:ilvl w:val="2"/>
          <w:numId w:val="7"/>
        </w:numPr>
        <w:spacing w:afterLines="0"/>
        <w:ind w:left="0" w:firstLine="0" w:firstLineChars="0"/>
        <w:rPr>
          <w:szCs w:val="24"/>
        </w:rPr>
      </w:pPr>
      <w:r>
        <w:rPr>
          <w:szCs w:val="24"/>
        </w:rPr>
        <w:t>材料堆放</w:t>
      </w:r>
    </w:p>
    <w:p>
      <w:pPr>
        <w:pStyle w:val="19"/>
        <w:numPr>
          <w:ilvl w:val="0"/>
          <w:numId w:val="11"/>
        </w:numPr>
        <w:spacing w:afterLines="0"/>
        <w:ind w:left="0" w:firstLine="480"/>
        <w:rPr>
          <w:szCs w:val="24"/>
        </w:rPr>
      </w:pPr>
      <w:r>
        <w:rPr>
          <w:szCs w:val="24"/>
        </w:rPr>
        <w:t>在施工全过程中，施工现场的各种设施、建筑材料、设备器材、现场制品、成品或半成品、构配件等物料应当按照施工总平面图</w:t>
      </w:r>
      <w:r>
        <w:rPr>
          <w:rFonts w:hint="eastAsia"/>
          <w:szCs w:val="24"/>
        </w:rPr>
        <w:t>规划设定的</w:t>
      </w:r>
      <w:r>
        <w:rPr>
          <w:szCs w:val="24"/>
        </w:rPr>
        <w:t>区域有秩序存放， 并设置标签。</w:t>
      </w:r>
    </w:p>
    <w:p>
      <w:pPr>
        <w:pStyle w:val="19"/>
        <w:spacing w:afterLines="0"/>
        <w:ind w:left="480" w:firstLine="0" w:firstLineChars="0"/>
        <w:jc w:val="center"/>
        <w:rPr>
          <w:szCs w:val="24"/>
        </w:rPr>
      </w:pPr>
      <w:r>
        <w:rPr>
          <w:szCs w:val="24"/>
        </w:rPr>
        <w:drawing>
          <wp:inline distT="0" distB="0" distL="0" distR="0">
            <wp:extent cx="3550285" cy="2289175"/>
            <wp:effectExtent l="0" t="0" r="0" b="0"/>
            <wp:docPr id="768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550401" cy="2289680"/>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图5.1.4-1  建筑材料分类堆放</w:t>
      </w:r>
    </w:p>
    <w:p>
      <w:pPr>
        <w:pStyle w:val="19"/>
        <w:numPr>
          <w:ilvl w:val="0"/>
          <w:numId w:val="11"/>
        </w:numPr>
        <w:spacing w:afterLines="0"/>
        <w:ind w:left="0" w:firstLine="480"/>
        <w:rPr>
          <w:szCs w:val="24"/>
        </w:rPr>
      </w:pPr>
      <w:r>
        <w:rPr>
          <w:rFonts w:hint="eastAsia"/>
          <w:szCs w:val="24"/>
        </w:rPr>
        <w:t>材料堆放区域应作场地硬化，并设置定型化的材料分区围挡。</w:t>
      </w:r>
    </w:p>
    <w:p>
      <w:pPr>
        <w:pStyle w:val="19"/>
        <w:spacing w:afterLines="0"/>
        <w:ind w:left="480" w:firstLine="0" w:firstLineChars="0"/>
        <w:jc w:val="center"/>
        <w:rPr>
          <w:szCs w:val="24"/>
        </w:rPr>
      </w:pPr>
      <w:r>
        <w:rPr>
          <w:szCs w:val="24"/>
        </w:rPr>
        <w:drawing>
          <wp:inline distT="0" distB="0" distL="0" distR="0">
            <wp:extent cx="3995420" cy="2028825"/>
            <wp:effectExtent l="0" t="0" r="5080" b="0"/>
            <wp:docPr id="747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b="13061"/>
                    <a:stretch>
                      <a:fillRect/>
                    </a:stretch>
                  </pic:blipFill>
                  <pic:spPr>
                    <a:xfrm>
                      <a:off x="0" y="0"/>
                      <a:ext cx="4002252" cy="2032130"/>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图5.1.4-2 材料堆放分区防护效果图</w:t>
      </w:r>
    </w:p>
    <w:p>
      <w:pPr>
        <w:pStyle w:val="19"/>
        <w:spacing w:afterLines="0"/>
        <w:ind w:left="480" w:firstLine="0" w:firstLineChars="0"/>
        <w:jc w:val="center"/>
        <w:rPr>
          <w:szCs w:val="24"/>
        </w:rPr>
      </w:pPr>
      <w:r>
        <w:rPr>
          <w:rFonts w:ascii="宋体" w:hAnsi="宋体"/>
          <w:bCs/>
          <w:sz w:val="32"/>
          <w:szCs w:val="32"/>
        </w:rPr>
        <w:drawing>
          <wp:inline distT="0" distB="0" distL="0" distR="0">
            <wp:extent cx="3533775" cy="2924175"/>
            <wp:effectExtent l="0" t="0" r="9525" b="9525"/>
            <wp:docPr id="24" name="图片 24" descr="06-材料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6-材料堆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533775" cy="2924175"/>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图5.1.4-3 材料堆放场地硬化</w:t>
      </w:r>
    </w:p>
    <w:p>
      <w:pPr>
        <w:pStyle w:val="19"/>
        <w:numPr>
          <w:ilvl w:val="0"/>
          <w:numId w:val="11"/>
        </w:numPr>
        <w:spacing w:after="312"/>
        <w:ind w:left="0" w:firstLine="480"/>
        <w:rPr>
          <w:szCs w:val="24"/>
        </w:rPr>
      </w:pPr>
      <w:r>
        <w:rPr>
          <w:szCs w:val="24"/>
        </w:rPr>
        <w:t>应制定现场材料储存限额要求（存放时间和数量限定），并严格执行，以便节约用地和避免材料浪费。</w:t>
      </w:r>
    </w:p>
    <w:p>
      <w:pPr>
        <w:pStyle w:val="19"/>
        <w:numPr>
          <w:ilvl w:val="2"/>
          <w:numId w:val="7"/>
        </w:numPr>
        <w:spacing w:afterLines="0"/>
        <w:ind w:left="0" w:firstLine="0" w:firstLineChars="0"/>
        <w:rPr>
          <w:szCs w:val="24"/>
        </w:rPr>
      </w:pPr>
      <w:r>
        <w:rPr>
          <w:szCs w:val="24"/>
        </w:rPr>
        <w:t>用电用水</w:t>
      </w:r>
    </w:p>
    <w:p>
      <w:pPr>
        <w:pStyle w:val="19"/>
        <w:numPr>
          <w:ilvl w:val="0"/>
          <w:numId w:val="12"/>
        </w:numPr>
        <w:spacing w:afterLines="0"/>
        <w:ind w:left="0" w:firstLine="480"/>
        <w:rPr>
          <w:szCs w:val="24"/>
        </w:rPr>
      </w:pPr>
      <w:r>
        <w:rPr>
          <w:szCs w:val="24"/>
        </w:rPr>
        <w:t>施工现场</w:t>
      </w:r>
      <w:r>
        <w:rPr>
          <w:rFonts w:hint="eastAsia"/>
          <w:szCs w:val="24"/>
        </w:rPr>
        <w:t>应</w:t>
      </w:r>
      <w:r>
        <w:rPr>
          <w:szCs w:val="24"/>
        </w:rPr>
        <w:t>设有保证施工安全的照明。</w:t>
      </w:r>
      <w:r>
        <w:rPr>
          <w:rFonts w:hint="eastAsia"/>
          <w:szCs w:val="24"/>
        </w:rPr>
        <w:t>施工现场及工人生活区照明应采用36V以下的安全电压，采用LED等节能灯具。并采用声控、光控等自动控制装置。</w:t>
      </w:r>
    </w:p>
    <w:p>
      <w:pPr>
        <w:pStyle w:val="19"/>
        <w:spacing w:afterLines="0"/>
        <w:ind w:left="720" w:firstLine="0" w:firstLineChars="0"/>
        <w:jc w:val="center"/>
      </w:pPr>
      <w:r>
        <w:drawing>
          <wp:inline distT="0" distB="0" distL="0" distR="0">
            <wp:extent cx="2839085" cy="1714500"/>
            <wp:effectExtent l="0" t="0" r="0" b="0"/>
            <wp:docPr id="14343" name="图片 14343" descr="https://timgsa.baidu.com/timg?image&amp;quality=80&amp;size=b9999_10000&amp;sec=1543900706348&amp;di=ce5f136272a812ac6ca3a7f689b22bac&amp;imgtype=0&amp;src=http%3A%2F%2F5b0988e595225.cdn.sohucs.com%2Fimages%2F20170923%2F34a42be444164d4baed1386a2e194a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图片 14343" descr="https://timgsa.baidu.com/timg?image&amp;quality=80&amp;size=b9999_10000&amp;sec=1543900706348&amp;di=ce5f136272a812ac6ca3a7f689b22bac&amp;imgtype=0&amp;src=http%3A%2F%2F5b0988e595225.cdn.sohucs.com%2Fimages%2F20170923%2F34a42be444164d4baed1386a2e194aaf.jpeg"/>
                    <pic:cNvPicPr>
                      <a:picLocks noChangeAspect="1" noChangeArrowheads="1"/>
                    </pic:cNvPicPr>
                  </pic:nvPicPr>
                  <pic:blipFill>
                    <a:blip r:embed="rId26">
                      <a:extLst>
                        <a:ext uri="{28A0092B-C50C-407E-A947-70E740481C1C}">
                          <a14:useLocalDpi xmlns:a14="http://schemas.microsoft.com/office/drawing/2010/main" val="0"/>
                        </a:ext>
                      </a:extLst>
                    </a:blip>
                    <a:srcRect b="19324"/>
                    <a:stretch>
                      <a:fillRect/>
                    </a:stretch>
                  </pic:blipFill>
                  <pic:spPr>
                    <a:xfrm>
                      <a:off x="0" y="0"/>
                      <a:ext cx="2845822" cy="1718342"/>
                    </a:xfrm>
                    <a:prstGeom prst="rect">
                      <a:avLst/>
                    </a:prstGeom>
                    <a:noFill/>
                    <a:ln>
                      <a:noFill/>
                    </a:ln>
                  </pic:spPr>
                </pic:pic>
              </a:graphicData>
            </a:graphic>
          </wp:inline>
        </w:drawing>
      </w:r>
    </w:p>
    <w:p>
      <w:pPr>
        <w:pStyle w:val="19"/>
        <w:spacing w:afterLines="0"/>
        <w:ind w:left="720" w:firstLine="0" w:firstLineChars="0"/>
        <w:jc w:val="center"/>
      </w:pPr>
      <w:r>
        <w:rPr>
          <w:rFonts w:hint="eastAsia"/>
        </w:rPr>
        <w:t>图</w:t>
      </w:r>
      <w:r>
        <w:rPr>
          <w:rFonts w:hint="eastAsia"/>
          <w:szCs w:val="24"/>
        </w:rPr>
        <w:t xml:space="preserve">5.1.5-1 </w:t>
      </w:r>
      <w:r>
        <w:rPr>
          <w:rFonts w:hint="eastAsia"/>
        </w:rPr>
        <w:t>节能型灯具照明</w:t>
      </w:r>
    </w:p>
    <w:p>
      <w:pPr>
        <w:pStyle w:val="19"/>
        <w:numPr>
          <w:ilvl w:val="0"/>
          <w:numId w:val="12"/>
        </w:numPr>
        <w:spacing w:afterLines="0"/>
        <w:ind w:left="0" w:firstLine="480"/>
        <w:rPr>
          <w:szCs w:val="24"/>
        </w:rPr>
      </w:pPr>
      <w:r>
        <w:rPr>
          <w:rFonts w:hint="eastAsia"/>
          <w:szCs w:val="24"/>
        </w:rPr>
        <w:t>施工用水采用节水施工工艺，其管线布置应符合消防要求。</w:t>
      </w:r>
    </w:p>
    <w:p>
      <w:pPr>
        <w:pStyle w:val="19"/>
        <w:numPr>
          <w:ilvl w:val="0"/>
          <w:numId w:val="12"/>
        </w:numPr>
        <w:spacing w:afterLines="0"/>
        <w:ind w:left="0" w:firstLine="480"/>
        <w:rPr>
          <w:szCs w:val="24"/>
        </w:rPr>
      </w:pPr>
      <w:r>
        <w:rPr>
          <w:rFonts w:hint="eastAsia"/>
          <w:szCs w:val="24"/>
        </w:rPr>
        <w:t>施工现场应建立雨水及地下水等收集处理系统，实现水资源梯级循环利用。</w:t>
      </w:r>
    </w:p>
    <w:p>
      <w:pPr>
        <w:pStyle w:val="19"/>
        <w:spacing w:afterLines="0"/>
        <w:ind w:left="480" w:firstLine="0" w:firstLineChars="0"/>
        <w:rPr>
          <w:szCs w:val="24"/>
        </w:rPr>
      </w:pPr>
      <w:r>
        <w:drawing>
          <wp:inline distT="0" distB="0" distL="0" distR="0">
            <wp:extent cx="4523740" cy="253301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4523810" cy="2533334"/>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图5.1.5-2地下水及雨水回收再利用示意图</w:t>
      </w:r>
    </w:p>
    <w:p>
      <w:pPr>
        <w:pStyle w:val="19"/>
        <w:spacing w:afterLines="0"/>
        <w:ind w:left="480" w:firstLine="0" w:firstLineChars="0"/>
        <w:jc w:val="center"/>
        <w:rPr>
          <w:szCs w:val="24"/>
        </w:rPr>
      </w:pPr>
      <w:r>
        <w:drawing>
          <wp:inline distT="0" distB="0" distL="0" distR="0">
            <wp:extent cx="2676525" cy="22764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rcRect b="10487"/>
                    <a:stretch>
                      <a:fillRect/>
                    </a:stretch>
                  </pic:blipFill>
                  <pic:spPr>
                    <a:xfrm>
                      <a:off x="0" y="0"/>
                      <a:ext cx="2676191" cy="2276191"/>
                    </a:xfrm>
                    <a:prstGeom prst="rect">
                      <a:avLst/>
                    </a:prstGeom>
                    <a:ln>
                      <a:noFill/>
                    </a:ln>
                  </pic:spPr>
                </pic:pic>
              </a:graphicData>
            </a:graphic>
          </wp:inline>
        </w:drawing>
      </w:r>
    </w:p>
    <w:p>
      <w:pPr>
        <w:pStyle w:val="19"/>
        <w:spacing w:afterLines="0"/>
        <w:ind w:left="480" w:firstLine="0" w:firstLineChars="0"/>
        <w:jc w:val="center"/>
        <w:rPr>
          <w:szCs w:val="24"/>
        </w:rPr>
      </w:pPr>
      <w:r>
        <w:rPr>
          <w:rFonts w:hint="eastAsia"/>
          <w:szCs w:val="24"/>
        </w:rPr>
        <w:t>图5.1.5-3雨水收集池</w:t>
      </w:r>
    </w:p>
    <w:p>
      <w:pPr>
        <w:pStyle w:val="19"/>
        <w:numPr>
          <w:ilvl w:val="0"/>
          <w:numId w:val="12"/>
        </w:numPr>
        <w:spacing w:afterLines="0"/>
        <w:ind w:left="0" w:firstLine="480"/>
        <w:rPr>
          <w:szCs w:val="24"/>
        </w:rPr>
      </w:pPr>
      <w:r>
        <w:rPr>
          <w:rFonts w:hint="eastAsia"/>
          <w:szCs w:val="24"/>
        </w:rPr>
        <w:t>用电及用水</w:t>
      </w:r>
      <w:r>
        <w:rPr>
          <w:szCs w:val="24"/>
        </w:rPr>
        <w:t>外露管线</w:t>
      </w:r>
      <w:r>
        <w:rPr>
          <w:rFonts w:hint="eastAsia"/>
          <w:szCs w:val="24"/>
        </w:rPr>
        <w:t>应</w:t>
      </w:r>
      <w:r>
        <w:rPr>
          <w:szCs w:val="24"/>
        </w:rPr>
        <w:t>布置美观，整洁。</w:t>
      </w:r>
    </w:p>
    <w:p>
      <w:pPr>
        <w:pStyle w:val="3"/>
        <w:numPr>
          <w:ilvl w:val="1"/>
          <w:numId w:val="2"/>
        </w:numPr>
        <w:spacing w:after="312"/>
        <w:jc w:val="center"/>
      </w:pPr>
      <w:bookmarkStart w:id="15" w:name="_Toc5809703"/>
      <w:r>
        <w:rPr>
          <w:rFonts w:hint="eastAsia"/>
        </w:rPr>
        <w:t>建筑施工垃圾控制</w:t>
      </w:r>
      <w:bookmarkEnd w:id="15"/>
    </w:p>
    <w:p>
      <w:pPr>
        <w:pStyle w:val="19"/>
        <w:numPr>
          <w:ilvl w:val="0"/>
          <w:numId w:val="13"/>
        </w:numPr>
        <w:spacing w:afterLines="0"/>
        <w:ind w:left="0" w:firstLine="480"/>
        <w:rPr>
          <w:szCs w:val="24"/>
        </w:rPr>
      </w:pPr>
      <w:r>
        <w:rPr>
          <w:szCs w:val="24"/>
        </w:rPr>
        <w:t>加强建筑垃圾的回收再利用，建筑垃圾的再利用和回收率应达到30％以上，建筑物拆除产生的废弃物的再利用和回收率应达到40％以上，对于碎石类、土石方类建筑垃圾，宜采用地基填埋、铺路等方式提高再利用率，再利用率应达到50％以上。</w:t>
      </w:r>
    </w:p>
    <w:p>
      <w:pPr>
        <w:pStyle w:val="19"/>
        <w:numPr>
          <w:ilvl w:val="0"/>
          <w:numId w:val="13"/>
        </w:numPr>
        <w:spacing w:afterLines="0"/>
        <w:ind w:left="0" w:firstLine="480"/>
        <w:rPr>
          <w:szCs w:val="24"/>
        </w:rPr>
      </w:pPr>
      <w:r>
        <w:rPr>
          <w:szCs w:val="24"/>
        </w:rPr>
        <w:t>建筑工程材料包装物回收率</w:t>
      </w:r>
      <w:r>
        <w:rPr>
          <w:rFonts w:hint="eastAsia"/>
          <w:szCs w:val="24"/>
        </w:rPr>
        <w:t>1</w:t>
      </w:r>
      <w:r>
        <w:rPr>
          <w:szCs w:val="24"/>
        </w:rPr>
        <w:t>00％，有毒有害废物分类率达到</w:t>
      </w:r>
      <w:r>
        <w:rPr>
          <w:rFonts w:hint="eastAsia"/>
          <w:szCs w:val="24"/>
        </w:rPr>
        <w:t>1</w:t>
      </w:r>
      <w:r>
        <w:rPr>
          <w:szCs w:val="24"/>
        </w:rPr>
        <w:t>00％，可再生利用的施工废弃物回收率应占可再生利用的施工废弃物总量的70％。</w:t>
      </w:r>
    </w:p>
    <w:p>
      <w:pPr>
        <w:pStyle w:val="19"/>
        <w:numPr>
          <w:ilvl w:val="0"/>
          <w:numId w:val="13"/>
        </w:numPr>
        <w:spacing w:afterLines="0"/>
        <w:ind w:left="0" w:firstLine="480"/>
        <w:rPr>
          <w:szCs w:val="24"/>
        </w:rPr>
      </w:pPr>
      <w:r>
        <w:rPr>
          <w:szCs w:val="24"/>
        </w:rPr>
        <w:t>施工现场生活区必须设置封闭式垃圾容器，施工场地生活垃圾必须实行分类处理</w:t>
      </w:r>
      <w:r>
        <w:rPr>
          <w:rFonts w:hint="eastAsia"/>
          <w:szCs w:val="24"/>
        </w:rPr>
        <w:t>，</w:t>
      </w:r>
      <w:r>
        <w:rPr>
          <w:szCs w:val="24"/>
        </w:rPr>
        <w:t>日产日清。</w:t>
      </w:r>
    </w:p>
    <w:p>
      <w:pPr>
        <w:pStyle w:val="19"/>
        <w:spacing w:afterLines="0"/>
        <w:ind w:left="480" w:firstLine="0" w:firstLineChars="0"/>
        <w:jc w:val="center"/>
        <w:rPr>
          <w:szCs w:val="24"/>
        </w:rPr>
      </w:pPr>
      <w:r>
        <w:t xml:space="preserve"> </w:t>
      </w:r>
      <w:r>
        <w:drawing>
          <wp:inline distT="0" distB="0" distL="0" distR="0">
            <wp:extent cx="3604260" cy="2296160"/>
            <wp:effectExtent l="0" t="0" r="0" b="8890"/>
            <wp:docPr id="14346" name="图片 14346" descr="https://timgsa.baidu.com/timg?image&amp;quality=80&amp;size=b9999_10000&amp;sec=1543901320713&amp;di=4c42ad2b5da66a1c6c56e4abc7f68067&amp;imgtype=0&amp;src=http%3A%2F%2Fwww.nfhbxxy.com%2Fuploadfile%2F2018%2F0121%2F2018012110192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图片 14346" descr="https://timgsa.baidu.com/timg?image&amp;quality=80&amp;size=b9999_10000&amp;sec=1543901320713&amp;di=4c42ad2b5da66a1c6c56e4abc7f68067&amp;imgtype=0&amp;src=http%3A%2F%2Fwww.nfhbxxy.com%2Fuploadfile%2F2018%2F0121%2F20180121101920737.jpg"/>
                    <pic:cNvPicPr>
                      <a:picLocks noChangeAspect="1" noChangeArrowheads="1"/>
                    </pic:cNvPicPr>
                  </pic:nvPicPr>
                  <pic:blipFill>
                    <a:blip r:embed="rId29" cstate="print">
                      <a:extLst>
                        <a:ext uri="{28A0092B-C50C-407E-A947-70E740481C1C}">
                          <a14:useLocalDpi xmlns:a14="http://schemas.microsoft.com/office/drawing/2010/main" val="0"/>
                        </a:ext>
                      </a:extLst>
                    </a:blip>
                    <a:srcRect l="13712" t="7855" r="17931" b="26888"/>
                    <a:stretch>
                      <a:fillRect/>
                    </a:stretch>
                  </pic:blipFill>
                  <pic:spPr>
                    <a:xfrm>
                      <a:off x="0" y="0"/>
                      <a:ext cx="3605398" cy="2297244"/>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图5.2.3-1  施工区生活垃圾分类处理</w:t>
      </w:r>
    </w:p>
    <w:p>
      <w:pPr>
        <w:pStyle w:val="19"/>
        <w:numPr>
          <w:ilvl w:val="0"/>
          <w:numId w:val="13"/>
        </w:numPr>
        <w:spacing w:after="312" w:afterLines="0"/>
        <w:ind w:left="0" w:firstLine="480"/>
        <w:rPr>
          <w:szCs w:val="24"/>
        </w:rPr>
      </w:pPr>
      <w:r>
        <w:rPr>
          <w:szCs w:val="24"/>
        </w:rPr>
        <w:t>有毒有害废弃物处理不能作为建筑垃圾外运，必须使用防渗漏容器进行收集集中存放</w:t>
      </w:r>
      <w:r>
        <w:rPr>
          <w:rFonts w:hint="eastAsia"/>
          <w:szCs w:val="24"/>
        </w:rPr>
        <w:t>，</w:t>
      </w:r>
      <w:r>
        <w:rPr>
          <w:szCs w:val="24"/>
        </w:rPr>
        <w:t>并按照相关规范委托有资质单位进行处置</w:t>
      </w:r>
      <w:r>
        <w:rPr>
          <w:rFonts w:hint="eastAsia"/>
          <w:szCs w:val="24"/>
        </w:rPr>
        <w:t>，</w:t>
      </w:r>
      <w:r>
        <w:rPr>
          <w:szCs w:val="24"/>
        </w:rPr>
        <w:t>严禁污染土壤和地下水。</w:t>
      </w:r>
    </w:p>
    <w:p>
      <w:pPr>
        <w:pStyle w:val="3"/>
        <w:numPr>
          <w:ilvl w:val="1"/>
          <w:numId w:val="2"/>
        </w:numPr>
        <w:spacing w:after="312"/>
        <w:jc w:val="center"/>
      </w:pPr>
      <w:bookmarkStart w:id="16" w:name="_Toc5809704"/>
      <w:r>
        <w:t>水污染防治</w:t>
      </w:r>
      <w:bookmarkEnd w:id="16"/>
    </w:p>
    <w:p>
      <w:pPr>
        <w:pStyle w:val="19"/>
        <w:numPr>
          <w:ilvl w:val="0"/>
          <w:numId w:val="14"/>
        </w:numPr>
        <w:spacing w:afterLines="0"/>
        <w:ind w:left="0" w:firstLine="480"/>
        <w:rPr>
          <w:szCs w:val="24"/>
        </w:rPr>
      </w:pPr>
      <w:r>
        <w:rPr>
          <w:szCs w:val="24"/>
        </w:rPr>
        <w:t>现场机具、设备、车辆冲洗、喷洒路面、绿化浇灌等用水，宜优先采用非传统水源，尽量不使用市政自来水。</w:t>
      </w:r>
    </w:p>
    <w:p>
      <w:pPr>
        <w:pStyle w:val="19"/>
        <w:numPr>
          <w:ilvl w:val="0"/>
          <w:numId w:val="14"/>
        </w:numPr>
        <w:spacing w:afterLines="0"/>
        <w:ind w:left="0" w:firstLine="480"/>
        <w:rPr>
          <w:szCs w:val="24"/>
        </w:rPr>
      </w:pPr>
      <w:r>
        <w:rPr>
          <w:szCs w:val="24"/>
        </w:rPr>
        <w:t>机具、设备及运输车辆清洗处应当设置沉淀池。废水不得直接排入市政污水管网，宜设立循环用水装置，经三级沉淀后循环使用或用于洒水降尘。</w:t>
      </w:r>
    </w:p>
    <w:p>
      <w:pPr>
        <w:pStyle w:val="19"/>
        <w:spacing w:afterLines="0"/>
        <w:ind w:left="480" w:firstLine="0" w:firstLineChars="0"/>
        <w:jc w:val="center"/>
        <w:rPr>
          <w:szCs w:val="24"/>
        </w:rPr>
      </w:pPr>
      <w:r>
        <w:rPr>
          <w:rFonts w:ascii="仿宋_GB2312" w:hAnsi="宋体" w:eastAsia="仿宋_GB2312"/>
          <w:bCs/>
          <w:sz w:val="32"/>
          <w:szCs w:val="32"/>
        </w:rPr>
        <w:drawing>
          <wp:inline distT="0" distB="0" distL="0" distR="0">
            <wp:extent cx="1947545" cy="1343025"/>
            <wp:effectExtent l="0" t="0" r="0" b="0"/>
            <wp:docPr id="19" name="图片 19" descr="08-洗车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8-洗车槽"/>
                    <pic:cNvPicPr>
                      <a:picLocks noChangeAspect="1" noChangeArrowheads="1"/>
                    </pic:cNvPicPr>
                  </pic:nvPicPr>
                  <pic:blipFill>
                    <a:blip r:embed="rId30" cstate="print">
                      <a:lum bright="16000"/>
                      <a:extLst>
                        <a:ext uri="{28A0092B-C50C-407E-A947-70E740481C1C}">
                          <a14:useLocalDpi xmlns:a14="http://schemas.microsoft.com/office/drawing/2010/main" val="0"/>
                        </a:ext>
                      </a:extLst>
                    </a:blip>
                    <a:srcRect/>
                    <a:stretch>
                      <a:fillRect/>
                    </a:stretch>
                  </pic:blipFill>
                  <pic:spPr>
                    <a:xfrm>
                      <a:off x="0" y="0"/>
                      <a:ext cx="1947991" cy="1343025"/>
                    </a:xfrm>
                    <a:prstGeom prst="rect">
                      <a:avLst/>
                    </a:prstGeom>
                    <a:noFill/>
                    <a:ln>
                      <a:noFill/>
                    </a:ln>
                  </pic:spPr>
                </pic:pic>
              </a:graphicData>
            </a:graphic>
          </wp:inline>
        </w:drawing>
      </w:r>
      <w:r>
        <w:rPr>
          <w:rFonts w:hint="eastAsia"/>
          <w:szCs w:val="24"/>
        </w:rPr>
        <w:t xml:space="preserve">  </w:t>
      </w:r>
      <w:r>
        <w:rPr>
          <w:rFonts w:ascii="宋体" w:hAnsi="宋体"/>
          <w:bCs/>
          <w:sz w:val="32"/>
          <w:szCs w:val="32"/>
        </w:rPr>
        <w:drawing>
          <wp:inline distT="0" distB="0" distL="0" distR="0">
            <wp:extent cx="2000250" cy="1333500"/>
            <wp:effectExtent l="0" t="0" r="0" b="0"/>
            <wp:docPr id="20" name="图片 20" descr="12-集水井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集水井示意图"/>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05950" cy="1337299"/>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图5.3.2-1  沉淀池</w:t>
      </w:r>
    </w:p>
    <w:p>
      <w:pPr>
        <w:pStyle w:val="19"/>
        <w:numPr>
          <w:ilvl w:val="0"/>
          <w:numId w:val="14"/>
        </w:numPr>
        <w:spacing w:afterLines="0"/>
        <w:ind w:left="0" w:firstLine="480"/>
        <w:rPr>
          <w:szCs w:val="24"/>
        </w:rPr>
      </w:pPr>
      <w:r>
        <w:rPr>
          <w:rFonts w:hint="eastAsia"/>
          <w:szCs w:val="24"/>
        </w:rPr>
        <w:t>施工现场道路及通道应设置环形排水沟，回收雨水及地表积水，减少雨污混流导致水污染，并进行沉淀回用。</w:t>
      </w:r>
    </w:p>
    <w:p>
      <w:pPr>
        <w:pStyle w:val="19"/>
        <w:spacing w:afterLines="0"/>
        <w:ind w:left="480" w:firstLine="0" w:firstLineChars="0"/>
        <w:jc w:val="center"/>
        <w:rPr>
          <w:szCs w:val="24"/>
        </w:rPr>
      </w:pPr>
      <w:r>
        <w:drawing>
          <wp:inline distT="0" distB="0" distL="0" distR="0">
            <wp:extent cx="4457700" cy="1658620"/>
            <wp:effectExtent l="0" t="0" r="0" b="0"/>
            <wp:docPr id="14353" name="图片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图片 14353"/>
                    <pic:cNvPicPr>
                      <a:picLocks noChangeAspect="1"/>
                    </pic:cNvPicPr>
                  </pic:nvPicPr>
                  <pic:blipFill>
                    <a:blip r:embed="rId32"/>
                    <a:stretch>
                      <a:fillRect/>
                    </a:stretch>
                  </pic:blipFill>
                  <pic:spPr>
                    <a:xfrm>
                      <a:off x="0" y="0"/>
                      <a:ext cx="4458734" cy="1659124"/>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图5.3.3-1 节污环形排水沟</w:t>
      </w:r>
    </w:p>
    <w:p>
      <w:pPr>
        <w:pStyle w:val="19"/>
        <w:numPr>
          <w:ilvl w:val="0"/>
          <w:numId w:val="14"/>
        </w:numPr>
        <w:spacing w:afterLines="0"/>
        <w:ind w:left="0" w:firstLine="480"/>
        <w:rPr>
          <w:szCs w:val="24"/>
        </w:rPr>
      </w:pPr>
      <w:r>
        <w:rPr>
          <w:szCs w:val="24"/>
        </w:rPr>
        <w:t>施工现场存放的油料和化学溶剂等物品应设有专门的库房，地面应做防渗漏处理。废弃的油料</w:t>
      </w:r>
      <w:r>
        <w:rPr>
          <w:rFonts w:hint="eastAsia"/>
          <w:szCs w:val="24"/>
        </w:rPr>
        <w:t>、</w:t>
      </w:r>
      <w:r>
        <w:rPr>
          <w:szCs w:val="24"/>
        </w:rPr>
        <w:t>化学溶剂及其容器属于危险废物</w:t>
      </w:r>
      <w:r>
        <w:rPr>
          <w:rFonts w:hint="eastAsia"/>
          <w:szCs w:val="24"/>
        </w:rPr>
        <w:t>，</w:t>
      </w:r>
      <w:r>
        <w:rPr>
          <w:szCs w:val="24"/>
        </w:rPr>
        <w:t>应按照规范设置危险废物暂存间集中存放</w:t>
      </w:r>
      <w:r>
        <w:rPr>
          <w:rFonts w:hint="eastAsia"/>
          <w:szCs w:val="24"/>
        </w:rPr>
        <w:t>，</w:t>
      </w:r>
      <w:r>
        <w:rPr>
          <w:szCs w:val="24"/>
        </w:rPr>
        <w:t>并委托具有危险废物经营许可证的单位进行处置。</w:t>
      </w:r>
    </w:p>
    <w:p>
      <w:pPr>
        <w:pStyle w:val="19"/>
        <w:numPr>
          <w:ilvl w:val="0"/>
          <w:numId w:val="14"/>
        </w:numPr>
        <w:spacing w:afterLines="0"/>
        <w:ind w:left="0" w:firstLine="480"/>
        <w:rPr>
          <w:szCs w:val="24"/>
        </w:rPr>
      </w:pPr>
      <w:r>
        <w:rPr>
          <w:szCs w:val="24"/>
        </w:rPr>
        <w:t>食堂应设隔油池，并应及时清理；施工现场设置的临时厕所化粪池必须做抗渗处理。</w:t>
      </w:r>
    </w:p>
    <w:p>
      <w:pPr>
        <w:pStyle w:val="19"/>
        <w:spacing w:afterLines="0"/>
        <w:ind w:left="480" w:firstLine="0" w:firstLineChars="0"/>
        <w:jc w:val="center"/>
        <w:rPr>
          <w:szCs w:val="24"/>
        </w:rPr>
      </w:pPr>
      <w:r>
        <w:drawing>
          <wp:inline distT="0" distB="0" distL="0" distR="0">
            <wp:extent cx="2657475" cy="2065020"/>
            <wp:effectExtent l="0" t="0" r="0" b="0"/>
            <wp:docPr id="14352" name="图片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图片 14352"/>
                    <pic:cNvPicPr>
                      <a:picLocks noChangeAspect="1"/>
                    </pic:cNvPicPr>
                  </pic:nvPicPr>
                  <pic:blipFill>
                    <a:blip r:embed="rId33"/>
                    <a:stretch>
                      <a:fillRect/>
                    </a:stretch>
                  </pic:blipFill>
                  <pic:spPr>
                    <a:xfrm>
                      <a:off x="0" y="0"/>
                      <a:ext cx="2657143" cy="2065268"/>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图5.3.5-1  隔油池</w:t>
      </w:r>
    </w:p>
    <w:p>
      <w:pPr>
        <w:pStyle w:val="19"/>
        <w:numPr>
          <w:ilvl w:val="0"/>
          <w:numId w:val="14"/>
        </w:numPr>
        <w:spacing w:afterLines="0"/>
        <w:ind w:left="0" w:firstLine="480"/>
        <w:rPr>
          <w:szCs w:val="24"/>
        </w:rPr>
      </w:pPr>
      <w:r>
        <w:rPr>
          <w:szCs w:val="24"/>
        </w:rPr>
        <w:t>食堂、盥洗室、淋浴间的下水管线必须设置过滤网，并应与市政污水管线连接，保证排水畅通。周边无市政污水管网的</w:t>
      </w:r>
      <w:r>
        <w:rPr>
          <w:rFonts w:hint="eastAsia"/>
          <w:szCs w:val="24"/>
        </w:rPr>
        <w:t>，</w:t>
      </w:r>
      <w:r>
        <w:rPr>
          <w:szCs w:val="24"/>
        </w:rPr>
        <w:t>废水应处理后回用</w:t>
      </w:r>
      <w:r>
        <w:rPr>
          <w:rFonts w:hint="eastAsia"/>
          <w:szCs w:val="24"/>
        </w:rPr>
        <w:t>，</w:t>
      </w:r>
      <w:r>
        <w:rPr>
          <w:szCs w:val="24"/>
        </w:rPr>
        <w:t>不得外排</w:t>
      </w:r>
      <w:r>
        <w:rPr>
          <w:rFonts w:hint="eastAsia"/>
          <w:szCs w:val="24"/>
        </w:rPr>
        <w:t>。</w:t>
      </w:r>
    </w:p>
    <w:p>
      <w:pPr>
        <w:pStyle w:val="19"/>
        <w:numPr>
          <w:ilvl w:val="0"/>
          <w:numId w:val="14"/>
        </w:numPr>
        <w:spacing w:after="312" w:afterLines="0"/>
        <w:ind w:left="0" w:firstLine="480"/>
        <w:rPr>
          <w:szCs w:val="24"/>
        </w:rPr>
      </w:pPr>
      <w:r>
        <w:rPr>
          <w:szCs w:val="24"/>
        </w:rPr>
        <w:t>地基施工时，应采用隔水性能好的边坡支护技术，基坑降水应尽可能少抽取地下水。基坑降水宜优先作为冲洗用水、混凝土养护用水、现场砂浆搅拌等用水；当基坑开挖抽水量大于50万m</w:t>
      </w:r>
      <w:r>
        <w:rPr>
          <w:szCs w:val="24"/>
          <w:vertAlign w:val="superscript"/>
        </w:rPr>
        <w:t>3</w:t>
      </w:r>
      <w:r>
        <w:rPr>
          <w:szCs w:val="24"/>
        </w:rPr>
        <w:t>时，应进行地下水回灌，并</w:t>
      </w:r>
      <w:r>
        <w:rPr>
          <w:rFonts w:hint="eastAsia"/>
          <w:szCs w:val="24"/>
        </w:rPr>
        <w:t>避免</w:t>
      </w:r>
      <w:r>
        <w:rPr>
          <w:szCs w:val="24"/>
        </w:rPr>
        <w:t>污染地下水。施工期间</w:t>
      </w:r>
      <w:r>
        <w:rPr>
          <w:rFonts w:hint="eastAsia"/>
          <w:szCs w:val="24"/>
        </w:rPr>
        <w:t>须</w:t>
      </w:r>
      <w:r>
        <w:rPr>
          <w:szCs w:val="24"/>
        </w:rPr>
        <w:t>做好地下水监测工作。</w:t>
      </w:r>
    </w:p>
    <w:p>
      <w:pPr>
        <w:pStyle w:val="3"/>
        <w:numPr>
          <w:ilvl w:val="1"/>
          <w:numId w:val="2"/>
        </w:numPr>
        <w:spacing w:after="312"/>
        <w:jc w:val="center"/>
      </w:pPr>
      <w:bookmarkStart w:id="17" w:name="_Toc5809705"/>
      <w:r>
        <w:t>扬尘防治</w:t>
      </w:r>
      <w:bookmarkEnd w:id="17"/>
    </w:p>
    <w:p>
      <w:pPr>
        <w:pStyle w:val="19"/>
        <w:numPr>
          <w:ilvl w:val="0"/>
          <w:numId w:val="15"/>
        </w:numPr>
        <w:spacing w:afterLines="0"/>
        <w:ind w:left="0" w:firstLine="480"/>
        <w:rPr>
          <w:szCs w:val="24"/>
        </w:rPr>
      </w:pPr>
      <w:r>
        <w:rPr>
          <w:rFonts w:hint="eastAsia"/>
          <w:szCs w:val="24"/>
        </w:rPr>
        <w:t>施工现场宜采取淋湿地面、外设高压喷雾状水系统、搭设防尘排栅等综合降尘措施</w:t>
      </w:r>
      <w:r>
        <w:rPr>
          <w:szCs w:val="24"/>
        </w:rPr>
        <w:t>。</w:t>
      </w:r>
    </w:p>
    <w:p>
      <w:pPr>
        <w:pStyle w:val="19"/>
        <w:spacing w:afterLines="0"/>
        <w:ind w:left="480" w:firstLine="0" w:firstLineChars="0"/>
        <w:jc w:val="center"/>
        <w:rPr>
          <w:szCs w:val="24"/>
        </w:rPr>
      </w:pPr>
      <w:r>
        <w:drawing>
          <wp:inline distT="0" distB="0" distL="0" distR="0">
            <wp:extent cx="2619375" cy="19056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rcRect l="2933" r="5572"/>
                    <a:stretch>
                      <a:fillRect/>
                    </a:stretch>
                  </pic:blipFill>
                  <pic:spPr>
                    <a:xfrm>
                      <a:off x="0" y="0"/>
                      <a:ext cx="2619048" cy="1905525"/>
                    </a:xfrm>
                    <a:prstGeom prst="rect">
                      <a:avLst/>
                    </a:prstGeom>
                    <a:ln>
                      <a:noFill/>
                    </a:ln>
                  </pic:spPr>
                </pic:pic>
              </a:graphicData>
            </a:graphic>
          </wp:inline>
        </w:drawing>
      </w:r>
    </w:p>
    <w:p>
      <w:pPr>
        <w:pStyle w:val="19"/>
        <w:spacing w:afterLines="0"/>
        <w:ind w:left="480" w:firstLine="0" w:firstLineChars="0"/>
        <w:jc w:val="center"/>
        <w:rPr>
          <w:szCs w:val="24"/>
        </w:rPr>
      </w:pPr>
      <w:r>
        <w:rPr>
          <w:rFonts w:hint="eastAsia"/>
          <w:szCs w:val="24"/>
        </w:rPr>
        <w:t>图5.4.1-1  地面淋湿</w:t>
      </w:r>
    </w:p>
    <w:p>
      <w:pPr>
        <w:pStyle w:val="19"/>
        <w:spacing w:afterLines="0"/>
        <w:ind w:left="480" w:firstLine="0" w:firstLineChars="0"/>
        <w:jc w:val="center"/>
        <w:rPr>
          <w:szCs w:val="24"/>
        </w:rPr>
      </w:pPr>
      <w:r>
        <w:drawing>
          <wp:inline distT="0" distB="0" distL="0" distR="0">
            <wp:extent cx="1883410" cy="2314575"/>
            <wp:effectExtent l="0" t="0" r="2540" b="0"/>
            <wp:docPr id="14339" name="图片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图片 14339"/>
                    <pic:cNvPicPr>
                      <a:picLocks noChangeAspect="1"/>
                    </pic:cNvPicPr>
                  </pic:nvPicPr>
                  <pic:blipFill>
                    <a:blip r:embed="rId35"/>
                    <a:srcRect l="3070" t="4871" r="51963" b="7451"/>
                    <a:stretch>
                      <a:fillRect/>
                    </a:stretch>
                  </pic:blipFill>
                  <pic:spPr>
                    <a:xfrm>
                      <a:off x="0" y="0"/>
                      <a:ext cx="1883429" cy="2314575"/>
                    </a:xfrm>
                    <a:prstGeom prst="rect">
                      <a:avLst/>
                    </a:prstGeom>
                    <a:ln>
                      <a:noFill/>
                    </a:ln>
                  </pic:spPr>
                </pic:pic>
              </a:graphicData>
            </a:graphic>
          </wp:inline>
        </w:drawing>
      </w:r>
    </w:p>
    <w:p>
      <w:pPr>
        <w:pStyle w:val="19"/>
        <w:spacing w:afterLines="0"/>
        <w:ind w:left="480" w:firstLine="0" w:firstLineChars="0"/>
        <w:jc w:val="center"/>
        <w:rPr>
          <w:szCs w:val="24"/>
        </w:rPr>
      </w:pPr>
      <w:r>
        <w:rPr>
          <w:rFonts w:hint="eastAsia"/>
          <w:szCs w:val="24"/>
        </w:rPr>
        <w:t>图5.4.1-2  楼层喷淋降尘</w:t>
      </w:r>
    </w:p>
    <w:p>
      <w:pPr>
        <w:pStyle w:val="19"/>
        <w:spacing w:afterLines="0"/>
        <w:ind w:left="480" w:firstLine="0" w:firstLineChars="0"/>
        <w:jc w:val="center"/>
        <w:rPr>
          <w:szCs w:val="24"/>
        </w:rPr>
      </w:pPr>
      <w:r>
        <w:drawing>
          <wp:inline distT="0" distB="0" distL="0" distR="0">
            <wp:extent cx="1752600" cy="2246630"/>
            <wp:effectExtent l="0" t="0" r="0" b="1270"/>
            <wp:docPr id="14337" name="图片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图片 14337"/>
                    <pic:cNvPicPr>
                      <a:picLocks noChangeAspect="1"/>
                    </pic:cNvPicPr>
                  </pic:nvPicPr>
                  <pic:blipFill>
                    <a:blip r:embed="rId35"/>
                    <a:srcRect l="50209" t="1433" r="6264" b="10029"/>
                    <a:stretch>
                      <a:fillRect/>
                    </a:stretch>
                  </pic:blipFill>
                  <pic:spPr>
                    <a:xfrm>
                      <a:off x="0" y="0"/>
                      <a:ext cx="1752758" cy="2247313"/>
                    </a:xfrm>
                    <a:prstGeom prst="rect">
                      <a:avLst/>
                    </a:prstGeom>
                    <a:ln>
                      <a:noFill/>
                    </a:ln>
                  </pic:spPr>
                </pic:pic>
              </a:graphicData>
            </a:graphic>
          </wp:inline>
        </w:drawing>
      </w:r>
    </w:p>
    <w:p>
      <w:pPr>
        <w:pStyle w:val="19"/>
        <w:spacing w:afterLines="0"/>
        <w:ind w:left="480" w:firstLine="0" w:firstLineChars="0"/>
        <w:jc w:val="center"/>
        <w:rPr>
          <w:szCs w:val="24"/>
        </w:rPr>
      </w:pPr>
      <w:r>
        <w:rPr>
          <w:rFonts w:hint="eastAsia"/>
          <w:szCs w:val="24"/>
        </w:rPr>
        <w:t>图5.4.1-3 塔吊喷淋降尘</w:t>
      </w:r>
    </w:p>
    <w:p>
      <w:pPr>
        <w:pStyle w:val="19"/>
        <w:numPr>
          <w:ilvl w:val="0"/>
          <w:numId w:val="15"/>
        </w:numPr>
        <w:spacing w:afterLines="0"/>
        <w:ind w:left="0" w:firstLine="480"/>
        <w:rPr>
          <w:szCs w:val="24"/>
        </w:rPr>
      </w:pPr>
      <w:r>
        <w:rPr>
          <w:szCs w:val="24"/>
        </w:rPr>
        <w:t>施工现场主要道路、材料堆放场地、露天加工场地应根据用途</w:t>
      </w:r>
      <w:r>
        <w:rPr>
          <w:rFonts w:hint="eastAsia"/>
          <w:szCs w:val="24"/>
        </w:rPr>
        <w:t>，采用C30砼或沥青</w:t>
      </w:r>
      <w:r>
        <w:rPr>
          <w:szCs w:val="24"/>
        </w:rPr>
        <w:t>进行硬化</w:t>
      </w:r>
      <w:r>
        <w:rPr>
          <w:rFonts w:hint="eastAsia"/>
          <w:szCs w:val="24"/>
        </w:rPr>
        <w:t>，硬化宽度不小于3m；临时施工便道暂时无法硬化时，应铺垫焦渣等</w:t>
      </w:r>
      <w:r>
        <w:rPr>
          <w:szCs w:val="24"/>
        </w:rPr>
        <w:t>。</w:t>
      </w:r>
    </w:p>
    <w:p>
      <w:pPr>
        <w:pStyle w:val="19"/>
        <w:numPr>
          <w:ilvl w:val="0"/>
          <w:numId w:val="15"/>
        </w:numPr>
        <w:spacing w:afterLines="0"/>
        <w:ind w:left="0" w:firstLine="480"/>
        <w:rPr>
          <w:szCs w:val="24"/>
        </w:rPr>
      </w:pPr>
      <w:r>
        <w:rPr>
          <w:rFonts w:hint="eastAsia"/>
          <w:szCs w:val="24"/>
        </w:rPr>
        <w:t>施工现场堆放的土方及砂石等易产生养成的物料应采取防尘布覆盖、洒水抑尘等措施。</w:t>
      </w:r>
    </w:p>
    <w:p>
      <w:pPr>
        <w:pStyle w:val="19"/>
        <w:spacing w:afterLines="0"/>
        <w:ind w:left="480" w:firstLine="0" w:firstLineChars="0"/>
        <w:jc w:val="center"/>
        <w:rPr>
          <w:szCs w:val="24"/>
        </w:rPr>
      </w:pPr>
      <w:r>
        <w:drawing>
          <wp:inline distT="0" distB="0" distL="0" distR="0">
            <wp:extent cx="2377440" cy="1781175"/>
            <wp:effectExtent l="0" t="0" r="3810" b="0"/>
            <wp:docPr id="9" name="图片 9" descr="https://timgsa.baidu.com/timg?image&amp;quality=80&amp;size=b9999_10000&amp;sec=1543142648467&amp;di=6154e44d35b05c8d20809fe8555865dc&amp;imgtype=jpg&amp;src=http%3A%2F%2Fimg3.imgtn.bdimg.com%2Fit%2Fu%3D1631130988%2C3955500177%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timgsa.baidu.com/timg?image&amp;quality=80&amp;size=b9999_10000&amp;sec=1543142648467&amp;di=6154e44d35b05c8d20809fe8555865dc&amp;imgtype=jpg&amp;src=http%3A%2F%2Fimg3.imgtn.bdimg.com%2Fit%2Fu%3D1631130988%2C3955500177%26fm%3D214%26gp%3D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377782" cy="1781175"/>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图5.4.3-1  防尘布覆盖降尘</w:t>
      </w:r>
    </w:p>
    <w:p>
      <w:pPr>
        <w:pStyle w:val="19"/>
        <w:numPr>
          <w:ilvl w:val="0"/>
          <w:numId w:val="15"/>
        </w:numPr>
        <w:spacing w:afterLines="0"/>
        <w:ind w:left="0" w:firstLine="480"/>
        <w:rPr>
          <w:szCs w:val="24"/>
        </w:rPr>
      </w:pPr>
      <w:r>
        <w:rPr>
          <w:rFonts w:hint="eastAsia"/>
          <w:szCs w:val="24"/>
        </w:rPr>
        <w:t>停工60日以上场地和渣土点应播撒快生草种加以绿化。</w:t>
      </w:r>
    </w:p>
    <w:p>
      <w:pPr>
        <w:pStyle w:val="19"/>
        <w:numPr>
          <w:ilvl w:val="0"/>
          <w:numId w:val="15"/>
        </w:numPr>
        <w:spacing w:afterLines="0"/>
        <w:ind w:left="0" w:firstLine="480"/>
        <w:rPr>
          <w:szCs w:val="24"/>
        </w:rPr>
      </w:pPr>
      <w:r>
        <w:rPr>
          <w:rFonts w:hint="eastAsia"/>
          <w:szCs w:val="24"/>
        </w:rPr>
        <w:t>运进或运出施工现场的土方、砂石、粉煤灰、建筑垃圾等易产生扬尘的细散颗粒材料，应采取封闭运输。</w:t>
      </w:r>
    </w:p>
    <w:p>
      <w:pPr>
        <w:pStyle w:val="19"/>
        <w:spacing w:afterLines="0"/>
        <w:ind w:left="480" w:firstLine="0" w:firstLineChars="0"/>
        <w:jc w:val="center"/>
      </w:pPr>
      <w:r>
        <w:t xml:space="preserve"> </w:t>
      </w:r>
      <w:r>
        <w:drawing>
          <wp:inline distT="0" distB="0" distL="0" distR="0">
            <wp:extent cx="2705100" cy="1913255"/>
            <wp:effectExtent l="0" t="0" r="0" b="0"/>
            <wp:docPr id="14345" name="图片 14345" descr="https://timgsa.baidu.com/timg?image&amp;quality=80&amp;size=b9999_10000&amp;sec=1543901113542&amp;di=c89046846d31dab6695600a9f23443c8&amp;imgtype=0&amp;src=http%3A%2F%2Fcos.solepic.com%2F20180813%2Fb_2316842_20180813082502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图片 14345" descr="https://timgsa.baidu.com/timg?image&amp;quality=80&amp;size=b9999_10000&amp;sec=1543901113542&amp;di=c89046846d31dab6695600a9f23443c8&amp;imgtype=0&amp;src=http%3A%2F%2Fcos.solepic.com%2F20180813%2Fb_2316842_201808130825024676.jpg"/>
                    <pic:cNvPicPr>
                      <a:picLocks noChangeAspect="1" noChangeArrowheads="1"/>
                    </pic:cNvPicPr>
                  </pic:nvPicPr>
                  <pic:blipFill>
                    <a:blip r:embed="rId37">
                      <a:extLst>
                        <a:ext uri="{28A0092B-C50C-407E-A947-70E740481C1C}">
                          <a14:useLocalDpi xmlns:a14="http://schemas.microsoft.com/office/drawing/2010/main" val="0"/>
                        </a:ext>
                      </a:extLst>
                    </a:blip>
                    <a:srcRect t="17586" b="29483"/>
                    <a:stretch>
                      <a:fillRect/>
                    </a:stretch>
                  </pic:blipFill>
                  <pic:spPr>
                    <a:xfrm>
                      <a:off x="0" y="0"/>
                      <a:ext cx="2705595" cy="1913947"/>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rPr>
        <w:t>图5.4.5-1  建筑材料及垃圾封闭运输</w:t>
      </w:r>
    </w:p>
    <w:p>
      <w:pPr>
        <w:pStyle w:val="19"/>
        <w:numPr>
          <w:ilvl w:val="0"/>
          <w:numId w:val="15"/>
        </w:numPr>
        <w:spacing w:afterLines="0"/>
        <w:ind w:left="0" w:firstLine="480"/>
        <w:rPr>
          <w:szCs w:val="24"/>
        </w:rPr>
      </w:pPr>
      <w:r>
        <w:rPr>
          <w:szCs w:val="24"/>
        </w:rPr>
        <w:t>施工现场对粉状材料必须封闭存放，对易产生扬尘的堆放材料应采取封闭、半封闭和覆盖措施。</w:t>
      </w:r>
    </w:p>
    <w:p>
      <w:pPr>
        <w:pStyle w:val="19"/>
        <w:numPr>
          <w:ilvl w:val="0"/>
          <w:numId w:val="15"/>
        </w:numPr>
        <w:spacing w:afterLines="0"/>
        <w:ind w:left="0" w:firstLine="480"/>
        <w:rPr>
          <w:szCs w:val="24"/>
        </w:rPr>
      </w:pPr>
      <w:r>
        <w:rPr>
          <w:rFonts w:hint="eastAsia"/>
          <w:szCs w:val="24"/>
        </w:rPr>
        <w:t>厂区出入口处设置冲洗槽及洗轮机，冲洗进出车辆，避免扬尘。</w:t>
      </w:r>
    </w:p>
    <w:p>
      <w:pPr>
        <w:pStyle w:val="19"/>
        <w:spacing w:afterLines="0"/>
        <w:ind w:left="480" w:firstLine="0" w:firstLineChars="0"/>
        <w:jc w:val="center"/>
        <w:rPr>
          <w:szCs w:val="24"/>
        </w:rPr>
      </w:pPr>
      <w:r>
        <w:drawing>
          <wp:inline distT="0" distB="0" distL="0" distR="0">
            <wp:extent cx="3152775" cy="2366010"/>
            <wp:effectExtent l="0" t="0" r="0" b="0"/>
            <wp:docPr id="14342" name="图片 14342" descr="https://timgsa.baidu.com/timg?image&amp;quality=80&amp;size=b9999_10000&amp;sec=1543900203027&amp;di=4872410128172425787e89c500bc8980&amp;imgtype=0&amp;src=http%3A%2F%2Fimg.jdzj.com%2FUserDocument%2F2014c%2F15130623722%2FPicture%2F20147814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图片 14342" descr="https://timgsa.baidu.com/timg?image&amp;quality=80&amp;size=b9999_10000&amp;sec=1543900203027&amp;di=4872410128172425787e89c500bc8980&amp;imgtype=0&amp;src=http%3A%2F%2Fimg.jdzj.com%2FUserDocument%2F2014c%2F15130623722%2FPicture%2F2014781429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51257" cy="2365271"/>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图5.4.7-1  车辆冲洗</w:t>
      </w:r>
    </w:p>
    <w:p>
      <w:pPr>
        <w:pStyle w:val="19"/>
        <w:numPr>
          <w:ilvl w:val="0"/>
          <w:numId w:val="15"/>
        </w:numPr>
        <w:spacing w:afterLines="0"/>
        <w:ind w:left="0" w:firstLine="480"/>
        <w:rPr>
          <w:szCs w:val="24"/>
        </w:rPr>
      </w:pPr>
      <w:r>
        <w:rPr>
          <w:rFonts w:hint="eastAsia"/>
          <w:szCs w:val="24"/>
        </w:rPr>
        <w:t>施工现场地面不得有浮土、积尘。应安排专人每天负责保洁工作，配备相应的洒水设备。</w:t>
      </w:r>
    </w:p>
    <w:p>
      <w:pPr>
        <w:pStyle w:val="19"/>
        <w:spacing w:afterLines="0"/>
        <w:ind w:left="480" w:firstLine="0" w:firstLineChars="0"/>
        <w:jc w:val="center"/>
        <w:rPr>
          <w:szCs w:val="24"/>
        </w:rPr>
      </w:pPr>
      <w:r>
        <w:drawing>
          <wp:inline distT="0" distB="0" distL="0" distR="0">
            <wp:extent cx="2933700" cy="2033270"/>
            <wp:effectExtent l="0" t="0" r="0" b="5080"/>
            <wp:docPr id="14340" name="currentImg" descr="https://timgsa.baidu.com/timg?image&amp;quality=80&amp;size=b9999_10000&amp;sec=1543899590071&amp;di=ee1c84fb72b3b529558e6a3684a2e567&amp;imgtype=0&amp;src=http%3A%2F%2Fimg.jdzj.com%2FUserDocument%2F2015a%2Fsy0007%2FPicture%2F201583016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currentImg" descr="https://timgsa.baidu.com/timg?image&amp;quality=80&amp;size=b9999_10000&amp;sec=1543899590071&amp;di=ee1c84fb72b3b529558e6a3684a2e567&amp;imgtype=0&amp;src=http%3A%2F%2Fimg.jdzj.com%2FUserDocument%2F2015a%2Fsy0007%2FPicture%2F20158301623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932288" cy="2032320"/>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图5.4.8-1  洒水车降尘</w:t>
      </w:r>
    </w:p>
    <w:p>
      <w:pPr>
        <w:pStyle w:val="19"/>
        <w:numPr>
          <w:ilvl w:val="0"/>
          <w:numId w:val="15"/>
        </w:numPr>
        <w:spacing w:afterLines="0"/>
        <w:ind w:left="0" w:firstLine="480"/>
        <w:rPr>
          <w:szCs w:val="24"/>
        </w:rPr>
      </w:pPr>
      <w:r>
        <w:rPr>
          <w:szCs w:val="24"/>
        </w:rPr>
        <w:t>土方作业阶段应采取洒水、覆盖等措施，达到作业区目测扬尘高度小于1.5 m，不得扩散到</w:t>
      </w:r>
      <w:r>
        <w:rPr>
          <w:rFonts w:hint="eastAsia"/>
          <w:szCs w:val="24"/>
        </w:rPr>
        <w:t>工作区域</w:t>
      </w:r>
      <w:r>
        <w:rPr>
          <w:szCs w:val="24"/>
        </w:rPr>
        <w:t>外。</w:t>
      </w:r>
    </w:p>
    <w:p>
      <w:pPr>
        <w:pStyle w:val="19"/>
        <w:spacing w:afterLines="0"/>
        <w:ind w:left="480" w:firstLine="0" w:firstLineChars="0"/>
        <w:jc w:val="center"/>
        <w:rPr>
          <w:szCs w:val="24"/>
        </w:rPr>
      </w:pPr>
      <w:r>
        <w:drawing>
          <wp:inline distT="0" distB="0" distL="0" distR="0">
            <wp:extent cx="2428875" cy="1731645"/>
            <wp:effectExtent l="0" t="0" r="0" b="1905"/>
            <wp:docPr id="15" name="图片 15" descr="https://timgsa.baidu.com/timg?image&amp;quality=80&amp;size=b9999_10000&amp;sec=1543142768612&amp;di=23d2b7cfd968aad17f4d51cf48e2608f&amp;imgtype=jpg&amp;src=http%3A%2F%2Fimg3.imgtn.bdimg.com%2Fit%2Fu%3D1852604853%2C2571806908%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timgsa.baidu.com/timg?image&amp;quality=80&amp;size=b9999_10000&amp;sec=1543142768612&amp;di=23d2b7cfd968aad17f4d51cf48e2608f&amp;imgtype=jpg&amp;src=http%3A%2F%2Fimg3.imgtn.bdimg.com%2Fit%2Fu%3D1852604853%2C2571806908%26fm%3D214%26gp%3D0.jpg"/>
                    <pic:cNvPicPr>
                      <a:picLocks noChangeAspect="1" noChangeArrowheads="1"/>
                    </pic:cNvPicPr>
                  </pic:nvPicPr>
                  <pic:blipFill>
                    <a:blip r:embed="rId40">
                      <a:extLst>
                        <a:ext uri="{28A0092B-C50C-407E-A947-70E740481C1C}">
                          <a14:useLocalDpi xmlns:a14="http://schemas.microsoft.com/office/drawing/2010/main" val="0"/>
                        </a:ext>
                      </a:extLst>
                    </a:blip>
                    <a:srcRect r="6593"/>
                    <a:stretch>
                      <a:fillRect/>
                    </a:stretch>
                  </pic:blipFill>
                  <pic:spPr>
                    <a:xfrm>
                      <a:off x="0" y="0"/>
                      <a:ext cx="2431787" cy="1733893"/>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图5.4.9-1  土方区人工喷洒降尘</w:t>
      </w:r>
    </w:p>
    <w:p>
      <w:pPr>
        <w:pStyle w:val="19"/>
        <w:numPr>
          <w:ilvl w:val="0"/>
          <w:numId w:val="15"/>
        </w:numPr>
        <w:spacing w:afterLines="0"/>
        <w:ind w:left="0" w:firstLine="480"/>
        <w:rPr>
          <w:szCs w:val="24"/>
        </w:rPr>
      </w:pPr>
      <w:r>
        <w:rPr>
          <w:rFonts w:hint="eastAsia"/>
          <w:szCs w:val="24"/>
        </w:rPr>
        <w:t>建筑垃圾等废弃物应及时清运出场。无法在48小时内清运完毕的，应在施工工地内设置临时堆放场，采取洒水、覆盖防尘网、喷洒抑尘剂等防尘设施；长期存在的废弃物堆场，应当设置高于废弃物堆的围墙、防尘网或者在废弃物堆场表面植被绿化。</w:t>
      </w:r>
    </w:p>
    <w:p>
      <w:pPr>
        <w:pStyle w:val="19"/>
        <w:numPr>
          <w:ilvl w:val="0"/>
          <w:numId w:val="15"/>
        </w:numPr>
        <w:spacing w:afterLines="0"/>
        <w:ind w:left="0" w:firstLine="480"/>
        <w:rPr>
          <w:szCs w:val="24"/>
        </w:rPr>
      </w:pPr>
      <w:r>
        <w:rPr>
          <w:szCs w:val="24"/>
        </w:rPr>
        <w:t>施工现场办公区和生活区的裸露场地应进行绿化、美化、固化和硬化。</w:t>
      </w:r>
    </w:p>
    <w:p>
      <w:pPr>
        <w:pStyle w:val="19"/>
        <w:spacing w:afterLines="0"/>
        <w:ind w:left="480" w:firstLine="0" w:firstLineChars="0"/>
        <w:rPr>
          <w:szCs w:val="24"/>
        </w:rPr>
      </w:pPr>
      <w:r>
        <w:rPr>
          <w:rFonts w:ascii="宋体" w:hAnsi="宋体"/>
          <w:bCs/>
          <w:sz w:val="28"/>
        </w:rPr>
        <w:drawing>
          <wp:inline distT="0" distB="0" distL="0" distR="0">
            <wp:extent cx="2200275" cy="1543050"/>
            <wp:effectExtent l="0" t="0" r="9525" b="0"/>
            <wp:docPr id="16" name="图片 16" descr="P105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10501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00999" cy="1543522"/>
                    </a:xfrm>
                    <a:prstGeom prst="rect">
                      <a:avLst/>
                    </a:prstGeom>
                    <a:noFill/>
                  </pic:spPr>
                </pic:pic>
              </a:graphicData>
            </a:graphic>
          </wp:inline>
        </w:drawing>
      </w:r>
      <w:r>
        <w:rPr>
          <w:rFonts w:hint="eastAsia"/>
          <w:szCs w:val="24"/>
        </w:rPr>
        <w:t xml:space="preserve"> </w:t>
      </w:r>
      <w:r>
        <w:drawing>
          <wp:inline distT="0" distB="0" distL="0" distR="0">
            <wp:extent cx="2120900" cy="1590675"/>
            <wp:effectExtent l="0" t="0" r="0" b="0"/>
            <wp:docPr id="17" name="图片 17" descr="https://timgsa.baidu.com/timg?image&amp;quality=80&amp;size=b9999_10000&amp;sec=1543142892974&amp;di=30f954342cf881b48ef856f91529f92d&amp;imgtype=0&amp;src=http%3A%2F%2Fjsj.pinghu.gov.cn%2Fupload%2F%25E5%25BB%25BA%25E7%25AE%25A1%25E5%25A4%2584%2F201732016483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timgsa.baidu.com/timg?image&amp;quality=80&amp;size=b9999_10000&amp;sec=1543142892974&amp;di=30f954342cf881b48ef856f91529f92d&amp;imgtype=0&amp;src=http%3A%2F%2Fjsj.pinghu.gov.cn%2Fupload%2F%25E5%25BB%25BA%25E7%25AE%25A1%25E5%25A4%2584%2F20173201648308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28613" cy="1596458"/>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图5.4.11-1  办公区、生活区硬化、绿化结合</w:t>
      </w:r>
    </w:p>
    <w:p>
      <w:pPr>
        <w:pStyle w:val="19"/>
        <w:numPr>
          <w:ilvl w:val="0"/>
          <w:numId w:val="15"/>
        </w:numPr>
        <w:spacing w:afterLines="0"/>
        <w:ind w:left="0" w:firstLine="480"/>
        <w:rPr>
          <w:szCs w:val="24"/>
        </w:rPr>
      </w:pPr>
      <w:r>
        <w:rPr>
          <w:rFonts w:hint="eastAsia"/>
          <w:szCs w:val="24"/>
        </w:rPr>
        <w:t>施工现场如需搅拌混凝土和砂浆，必须采取封闭、降尘措施</w:t>
      </w:r>
      <w:r>
        <w:rPr>
          <w:szCs w:val="24"/>
        </w:rPr>
        <w:t>。</w:t>
      </w:r>
    </w:p>
    <w:p>
      <w:pPr>
        <w:pStyle w:val="19"/>
        <w:numPr>
          <w:ilvl w:val="0"/>
          <w:numId w:val="15"/>
        </w:numPr>
        <w:spacing w:afterLines="0"/>
        <w:ind w:left="0" w:firstLine="480"/>
        <w:rPr>
          <w:szCs w:val="24"/>
        </w:rPr>
      </w:pPr>
      <w:r>
        <w:rPr>
          <w:szCs w:val="24"/>
        </w:rPr>
        <w:t>施工现场进行机械剔凿作业时，作业面局部必须遮挡、掩盖和采取水淋的降尘措施。</w:t>
      </w:r>
    </w:p>
    <w:p>
      <w:pPr>
        <w:pStyle w:val="19"/>
        <w:numPr>
          <w:ilvl w:val="0"/>
          <w:numId w:val="15"/>
        </w:numPr>
        <w:spacing w:afterLines="0"/>
        <w:ind w:left="0" w:firstLine="480"/>
        <w:rPr>
          <w:szCs w:val="24"/>
        </w:rPr>
      </w:pPr>
      <w:r>
        <w:rPr>
          <w:szCs w:val="24"/>
        </w:rPr>
        <w:t>结构施工、安装装饰装修阶段，作业区目测扬尘高度小于0.5 m，施工现场非作业区达到目测无扬尘的要求。</w:t>
      </w:r>
    </w:p>
    <w:p>
      <w:pPr>
        <w:pStyle w:val="19"/>
        <w:numPr>
          <w:ilvl w:val="0"/>
          <w:numId w:val="15"/>
        </w:numPr>
        <w:spacing w:afterLines="0"/>
        <w:ind w:left="0" w:firstLine="480"/>
        <w:rPr>
          <w:szCs w:val="24"/>
        </w:rPr>
      </w:pPr>
      <w:r>
        <w:rPr>
          <w:szCs w:val="24"/>
        </w:rPr>
        <w:t>加强建筑施工现场颗粒物排放控制。施工现场应安装颗粒物在线监控设备，监测点颗粒物的15分钟浓度均值不得超过2.0 mg/m3。</w:t>
      </w:r>
    </w:p>
    <w:p>
      <w:pPr>
        <w:pStyle w:val="19"/>
        <w:numPr>
          <w:ilvl w:val="0"/>
          <w:numId w:val="15"/>
        </w:numPr>
        <w:spacing w:afterLines="0"/>
        <w:ind w:left="0" w:firstLine="480"/>
        <w:rPr>
          <w:szCs w:val="24"/>
        </w:rPr>
      </w:pPr>
      <w:r>
        <w:rPr>
          <w:rFonts w:hint="eastAsia"/>
          <w:szCs w:val="24"/>
        </w:rPr>
        <w:t>施工现场应搭设封闭式垃圾站。施工现场应禁止焚烧垃圾废弃物。</w:t>
      </w:r>
    </w:p>
    <w:p>
      <w:pPr>
        <w:pStyle w:val="19"/>
        <w:spacing w:afterLines="0"/>
        <w:ind w:left="480" w:firstLine="0" w:firstLineChars="0"/>
        <w:jc w:val="center"/>
        <w:rPr>
          <w:szCs w:val="24"/>
        </w:rPr>
      </w:pPr>
      <w:r>
        <w:drawing>
          <wp:inline distT="0" distB="0" distL="0" distR="0">
            <wp:extent cx="4638675" cy="1877695"/>
            <wp:effectExtent l="0" t="0" r="0" b="8255"/>
            <wp:docPr id="14341" name="图片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14341"/>
                    <pic:cNvPicPr>
                      <a:picLocks noChangeAspect="1"/>
                    </pic:cNvPicPr>
                  </pic:nvPicPr>
                  <pic:blipFill>
                    <a:blip r:embed="rId43"/>
                    <a:stretch>
                      <a:fillRect/>
                    </a:stretch>
                  </pic:blipFill>
                  <pic:spPr>
                    <a:xfrm>
                      <a:off x="0" y="0"/>
                      <a:ext cx="4642508" cy="1879571"/>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图5.4.16-1  封闭式垃圾站</w:t>
      </w:r>
    </w:p>
    <w:p>
      <w:pPr>
        <w:pStyle w:val="19"/>
        <w:numPr>
          <w:ilvl w:val="0"/>
          <w:numId w:val="15"/>
        </w:numPr>
        <w:spacing w:afterLines="0"/>
        <w:ind w:left="0" w:firstLine="480"/>
        <w:rPr>
          <w:szCs w:val="24"/>
        </w:rPr>
      </w:pPr>
      <w:r>
        <w:rPr>
          <w:rFonts w:hint="eastAsia"/>
          <w:szCs w:val="24"/>
        </w:rPr>
        <w:t>民用建筑工程室内装修严禁采用沥青、煤焦油类防腐、防潮处理剂。</w:t>
      </w:r>
    </w:p>
    <w:p>
      <w:pPr>
        <w:pStyle w:val="19"/>
        <w:numPr>
          <w:ilvl w:val="0"/>
          <w:numId w:val="15"/>
        </w:numPr>
        <w:spacing w:afterLines="0"/>
        <w:ind w:left="0" w:firstLine="480"/>
        <w:rPr>
          <w:szCs w:val="24"/>
        </w:rPr>
      </w:pPr>
      <w:r>
        <w:rPr>
          <w:szCs w:val="24"/>
        </w:rPr>
        <w:t>大风天气作业遇到四级以上大风天气，不</w:t>
      </w:r>
      <w:r>
        <w:rPr>
          <w:rFonts w:hint="eastAsia"/>
          <w:szCs w:val="24"/>
        </w:rPr>
        <w:t>得</w:t>
      </w:r>
      <w:r>
        <w:rPr>
          <w:szCs w:val="24"/>
        </w:rPr>
        <w:t>进行土方回填、转运以及其它可能产生扬尘污染的施工；五级及以上大风天气，施工现场应停止工地室外作业及室内喷涂粉刷作业，并对作业面进行覆盖。</w:t>
      </w:r>
    </w:p>
    <w:p>
      <w:pPr>
        <w:pStyle w:val="3"/>
        <w:numPr>
          <w:ilvl w:val="1"/>
          <w:numId w:val="2"/>
        </w:numPr>
        <w:spacing w:after="312"/>
        <w:jc w:val="center"/>
      </w:pPr>
      <w:bookmarkStart w:id="18" w:name="_Toc5809706"/>
      <w:r>
        <w:t>噪声防治</w:t>
      </w:r>
      <w:bookmarkEnd w:id="18"/>
    </w:p>
    <w:p>
      <w:pPr>
        <w:pStyle w:val="19"/>
        <w:numPr>
          <w:ilvl w:val="0"/>
          <w:numId w:val="16"/>
        </w:numPr>
        <w:spacing w:afterLines="0"/>
        <w:ind w:left="0" w:firstLine="480"/>
        <w:rPr>
          <w:szCs w:val="24"/>
        </w:rPr>
      </w:pPr>
      <w:r>
        <w:rPr>
          <w:szCs w:val="24"/>
        </w:rPr>
        <w:t>施工现场必须</w:t>
      </w:r>
      <w:r>
        <w:rPr>
          <w:rFonts w:hint="eastAsia"/>
          <w:szCs w:val="24"/>
        </w:rPr>
        <w:t>合理选用推土机、挖土机、自卸汽车等内燃机机械，保证机械既不超负荷运转又不空转加油，平稳高效运行，减少对周边区域居民工作和生活的影响</w:t>
      </w:r>
      <w:r>
        <w:rPr>
          <w:szCs w:val="24"/>
        </w:rPr>
        <w:t>。</w:t>
      </w:r>
    </w:p>
    <w:p>
      <w:pPr>
        <w:pStyle w:val="19"/>
        <w:numPr>
          <w:ilvl w:val="0"/>
          <w:numId w:val="16"/>
        </w:numPr>
        <w:spacing w:afterLines="0"/>
        <w:ind w:left="0" w:firstLine="480"/>
        <w:rPr>
          <w:szCs w:val="24"/>
        </w:rPr>
      </w:pPr>
      <w:r>
        <w:rPr>
          <w:rFonts w:hint="eastAsia"/>
          <w:szCs w:val="24"/>
        </w:rPr>
        <w:t>施工现场道路为避免制造运输噪声，应形成环形道路。</w:t>
      </w:r>
    </w:p>
    <w:p>
      <w:pPr>
        <w:pStyle w:val="19"/>
        <w:numPr>
          <w:ilvl w:val="0"/>
          <w:numId w:val="16"/>
        </w:numPr>
        <w:spacing w:afterLines="0"/>
        <w:ind w:left="0" w:firstLine="480"/>
        <w:rPr>
          <w:szCs w:val="24"/>
        </w:rPr>
      </w:pPr>
      <w:r>
        <w:rPr>
          <w:rFonts w:hint="eastAsia"/>
          <w:szCs w:val="24"/>
        </w:rPr>
        <w:t>施工机具和设备噪声控制应符合以下规定：</w:t>
      </w:r>
    </w:p>
    <w:p>
      <w:pPr>
        <w:pStyle w:val="19"/>
        <w:numPr>
          <w:ilvl w:val="0"/>
          <w:numId w:val="17"/>
        </w:numPr>
        <w:spacing w:afterLines="0"/>
        <w:ind w:left="0" w:firstLine="480"/>
        <w:rPr>
          <w:szCs w:val="24"/>
        </w:rPr>
      </w:pPr>
      <w:r>
        <w:rPr>
          <w:rFonts w:hint="eastAsia"/>
          <w:szCs w:val="24"/>
        </w:rPr>
        <w:t>优先使用低噪声、低振动或有消声降噪装置的施工机具和设备；</w:t>
      </w:r>
    </w:p>
    <w:p>
      <w:pPr>
        <w:pStyle w:val="19"/>
        <w:numPr>
          <w:ilvl w:val="0"/>
          <w:numId w:val="17"/>
        </w:numPr>
        <w:spacing w:afterLines="0"/>
        <w:ind w:left="0" w:firstLine="480"/>
        <w:rPr>
          <w:szCs w:val="24"/>
        </w:rPr>
      </w:pPr>
      <w:r>
        <w:rPr>
          <w:rFonts w:hint="eastAsia"/>
          <w:szCs w:val="24"/>
        </w:rPr>
        <w:t>施工场地的强噪声设备，宜远离生活区、办公区设置，并采取降噪措施；</w:t>
      </w:r>
    </w:p>
    <w:p>
      <w:pPr>
        <w:pStyle w:val="19"/>
        <w:numPr>
          <w:ilvl w:val="0"/>
          <w:numId w:val="17"/>
        </w:numPr>
        <w:spacing w:afterLines="0"/>
        <w:ind w:left="0" w:firstLine="480"/>
        <w:rPr>
          <w:szCs w:val="24"/>
        </w:rPr>
      </w:pPr>
      <w:r>
        <w:rPr>
          <w:rFonts w:hint="eastAsia"/>
          <w:szCs w:val="24"/>
        </w:rPr>
        <w:t>噪声大的设备和施工工序宜安排在白天或封闭的室内作业；</w:t>
      </w:r>
    </w:p>
    <w:p>
      <w:pPr>
        <w:pStyle w:val="19"/>
        <w:numPr>
          <w:ilvl w:val="0"/>
          <w:numId w:val="17"/>
        </w:numPr>
        <w:spacing w:afterLines="0"/>
        <w:ind w:left="0" w:firstLine="480"/>
        <w:rPr>
          <w:szCs w:val="24"/>
        </w:rPr>
      </w:pPr>
      <w:r>
        <w:rPr>
          <w:rFonts w:hint="eastAsia"/>
          <w:szCs w:val="24"/>
        </w:rPr>
        <w:t>施工现场的强噪声机械（如：搅拌机、木工机械、砂轮机、空压机等）要设置封闭降噪的机械棚，门窗挂降噪屏降噪；</w:t>
      </w:r>
    </w:p>
    <w:p>
      <w:pPr>
        <w:pStyle w:val="19"/>
        <w:spacing w:afterLines="0"/>
        <w:ind w:left="480" w:firstLine="0" w:firstLineChars="0"/>
        <w:jc w:val="center"/>
        <w:rPr>
          <w:szCs w:val="24"/>
        </w:rPr>
      </w:pPr>
      <w:r>
        <w:drawing>
          <wp:inline distT="0" distB="0" distL="0" distR="0">
            <wp:extent cx="4772025" cy="1594485"/>
            <wp:effectExtent l="0" t="0" r="0" b="5715"/>
            <wp:docPr id="14355" name="图片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图片 14355"/>
                    <pic:cNvPicPr>
                      <a:picLocks noChangeAspect="1"/>
                    </pic:cNvPicPr>
                  </pic:nvPicPr>
                  <pic:blipFill>
                    <a:blip r:embed="rId44"/>
                    <a:stretch>
                      <a:fillRect/>
                    </a:stretch>
                  </pic:blipFill>
                  <pic:spPr>
                    <a:xfrm>
                      <a:off x="0" y="0"/>
                      <a:ext cx="4772707" cy="1594770"/>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图5.5.3-1 空压机隔音棚</w:t>
      </w:r>
    </w:p>
    <w:p>
      <w:pPr>
        <w:pStyle w:val="19"/>
        <w:spacing w:afterLines="0"/>
        <w:ind w:left="480" w:firstLine="0" w:firstLineChars="0"/>
        <w:jc w:val="center"/>
        <w:rPr>
          <w:szCs w:val="24"/>
        </w:rPr>
      </w:pPr>
      <w:r>
        <w:drawing>
          <wp:inline distT="0" distB="0" distL="0" distR="0">
            <wp:extent cx="4467225" cy="1661795"/>
            <wp:effectExtent l="0" t="0" r="0" b="0"/>
            <wp:docPr id="14356" name="图片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 name="图片 14356"/>
                    <pic:cNvPicPr>
                      <a:picLocks noChangeAspect="1"/>
                    </pic:cNvPicPr>
                  </pic:nvPicPr>
                  <pic:blipFill>
                    <a:blip r:embed="rId45"/>
                    <a:stretch>
                      <a:fillRect/>
                    </a:stretch>
                  </pic:blipFill>
                  <pic:spPr>
                    <a:xfrm>
                      <a:off x="0" y="0"/>
                      <a:ext cx="4480247" cy="1667130"/>
                    </a:xfrm>
                    <a:prstGeom prst="rect">
                      <a:avLst/>
                    </a:prstGeom>
                  </pic:spPr>
                </pic:pic>
              </a:graphicData>
            </a:graphic>
          </wp:inline>
        </w:drawing>
      </w:r>
    </w:p>
    <w:p>
      <w:pPr>
        <w:pStyle w:val="19"/>
        <w:spacing w:afterLines="0"/>
        <w:ind w:left="480" w:firstLine="0" w:firstLineChars="0"/>
        <w:jc w:val="center"/>
        <w:rPr>
          <w:szCs w:val="24"/>
        </w:rPr>
      </w:pPr>
      <w:r>
        <w:rPr>
          <w:rFonts w:hint="eastAsia"/>
          <w:szCs w:val="24"/>
        </w:rPr>
        <w:t>图5.5.3-2  封闭式木工棚</w:t>
      </w:r>
    </w:p>
    <w:p>
      <w:pPr>
        <w:pStyle w:val="19"/>
        <w:numPr>
          <w:ilvl w:val="0"/>
          <w:numId w:val="17"/>
        </w:numPr>
        <w:spacing w:afterLines="0"/>
        <w:ind w:left="0" w:firstLine="480"/>
        <w:rPr>
          <w:szCs w:val="24"/>
        </w:rPr>
      </w:pPr>
      <w:r>
        <w:rPr>
          <w:rFonts w:hint="eastAsia"/>
          <w:szCs w:val="24"/>
        </w:rPr>
        <w:t>混凝土振捣应采用低噪声振捣设备或围挡降噪措施；</w:t>
      </w:r>
    </w:p>
    <w:p>
      <w:pPr>
        <w:pStyle w:val="19"/>
        <w:numPr>
          <w:ilvl w:val="0"/>
          <w:numId w:val="17"/>
        </w:numPr>
        <w:spacing w:afterLines="0"/>
        <w:ind w:left="0" w:firstLine="480"/>
        <w:rPr>
          <w:szCs w:val="24"/>
        </w:rPr>
      </w:pPr>
      <w:r>
        <w:rPr>
          <w:rFonts w:hint="eastAsia"/>
          <w:szCs w:val="24"/>
        </w:rPr>
        <w:t>机械安装应放置平整，并采取隔音与隔振措施。</w:t>
      </w:r>
    </w:p>
    <w:p>
      <w:pPr>
        <w:pStyle w:val="19"/>
        <w:spacing w:afterLines="0"/>
        <w:ind w:left="482" w:firstLine="480"/>
        <w:jc w:val="center"/>
        <w:rPr>
          <w:szCs w:val="24"/>
        </w:rPr>
      </w:pPr>
      <w:r>
        <w:drawing>
          <wp:inline distT="0" distB="0" distL="0" distR="0">
            <wp:extent cx="1934210" cy="1647825"/>
            <wp:effectExtent l="0" t="0" r="8890" b="0"/>
            <wp:docPr id="25" name="图片 25" descr="https://timgsa.baidu.com/timg?image&amp;quality=80&amp;size=b9999_10000&amp;sec=1543144332936&amp;di=d3d6e4a78c7f7eb56e94a14451bdc0c1&amp;imgtype=0&amp;src=http%3A%2F%2Fndown.zhulong.com%2Fstatic%2Ftech%2Fnew_miniature%2F4410%2F20141131452441426_3.jpg%3Ff%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timgsa.baidu.com/timg?image&amp;quality=80&amp;size=b9999_10000&amp;sec=1543144332936&amp;di=d3d6e4a78c7f7eb56e94a14451bdc0c1&amp;imgtype=0&amp;src=http%3A%2F%2Fndown.zhulong.com%2Fstatic%2Ftech%2Fnew_miniature%2F4410%2F20141131452441426_3.jpg%3Ff%3D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34206" cy="1647529"/>
                    </a:xfrm>
                    <a:prstGeom prst="rect">
                      <a:avLst/>
                    </a:prstGeom>
                    <a:noFill/>
                    <a:ln>
                      <a:noFill/>
                    </a:ln>
                  </pic:spPr>
                </pic:pic>
              </a:graphicData>
            </a:graphic>
          </wp:inline>
        </w:drawing>
      </w:r>
      <w:r>
        <w:rPr>
          <w:rFonts w:hint="eastAsia"/>
          <w:szCs w:val="24"/>
        </w:rPr>
        <w:t xml:space="preserve"> </w:t>
      </w:r>
      <w:r>
        <w:rPr>
          <w:rFonts w:ascii="仿宋_GB2312" w:hAnsi="宋体" w:eastAsia="仿宋_GB2312"/>
          <w:bCs/>
          <w:sz w:val="32"/>
          <w:szCs w:val="32"/>
        </w:rPr>
        <w:drawing>
          <wp:inline distT="0" distB="0" distL="0" distR="0">
            <wp:extent cx="2553335" cy="1757680"/>
            <wp:effectExtent l="0" t="0" r="0" b="0"/>
            <wp:docPr id="12" name="图片 12" descr="地泵降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泵降噪"/>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553335" cy="1757680"/>
                    </a:xfrm>
                    <a:prstGeom prst="rect">
                      <a:avLst/>
                    </a:prstGeom>
                    <a:noFill/>
                    <a:ln>
                      <a:noFill/>
                    </a:ln>
                  </pic:spPr>
                </pic:pic>
              </a:graphicData>
            </a:graphic>
          </wp:inline>
        </w:drawing>
      </w:r>
    </w:p>
    <w:p>
      <w:pPr>
        <w:pStyle w:val="19"/>
        <w:spacing w:afterLines="0"/>
        <w:ind w:left="242" w:leftChars="101" w:firstLine="480"/>
        <w:jc w:val="center"/>
        <w:rPr>
          <w:szCs w:val="24"/>
        </w:rPr>
      </w:pPr>
      <w:r>
        <w:rPr>
          <w:rFonts w:hint="eastAsia"/>
          <w:szCs w:val="24"/>
        </w:rPr>
        <w:t xml:space="preserve">图5.5.3-3  降噪机械棚 </w:t>
      </w:r>
    </w:p>
    <w:p>
      <w:pPr>
        <w:pStyle w:val="19"/>
        <w:numPr>
          <w:ilvl w:val="0"/>
          <w:numId w:val="16"/>
        </w:numPr>
        <w:spacing w:afterLines="0"/>
        <w:ind w:left="0" w:firstLine="480"/>
        <w:rPr>
          <w:szCs w:val="24"/>
        </w:rPr>
      </w:pPr>
      <w:r>
        <w:rPr>
          <w:rFonts w:hint="eastAsia"/>
          <w:szCs w:val="24"/>
        </w:rPr>
        <w:t>建筑工程结构施工楼层宜设置降噪围挡。</w:t>
      </w:r>
    </w:p>
    <w:p>
      <w:pPr>
        <w:pStyle w:val="19"/>
        <w:numPr>
          <w:ilvl w:val="0"/>
          <w:numId w:val="16"/>
        </w:numPr>
        <w:spacing w:afterLines="0"/>
        <w:ind w:left="0" w:firstLine="480"/>
        <w:rPr>
          <w:szCs w:val="24"/>
        </w:rPr>
      </w:pPr>
      <w:r>
        <w:rPr>
          <w:rFonts w:hint="eastAsia"/>
          <w:szCs w:val="24"/>
        </w:rPr>
        <w:t>模板、脚手架支（拆）及搬运作业时应轻拿轻放，不得高处抛掷。</w:t>
      </w:r>
    </w:p>
    <w:p>
      <w:pPr>
        <w:pStyle w:val="19"/>
        <w:numPr>
          <w:ilvl w:val="0"/>
          <w:numId w:val="16"/>
        </w:numPr>
        <w:spacing w:afterLines="0"/>
        <w:ind w:left="0" w:firstLine="480"/>
        <w:rPr>
          <w:szCs w:val="24"/>
        </w:rPr>
      </w:pPr>
      <w:r>
        <w:rPr>
          <w:rFonts w:hint="eastAsia"/>
          <w:szCs w:val="24"/>
        </w:rPr>
        <w:t>夜间施工材料运输车辆进入施工现场严禁鸣笛，装卸材料应做到轻拿轻放。</w:t>
      </w:r>
    </w:p>
    <w:p>
      <w:pPr>
        <w:pStyle w:val="19"/>
        <w:numPr>
          <w:ilvl w:val="0"/>
          <w:numId w:val="16"/>
        </w:numPr>
        <w:spacing w:afterLines="0"/>
        <w:ind w:left="0" w:firstLine="480"/>
        <w:rPr>
          <w:szCs w:val="24"/>
        </w:rPr>
      </w:pPr>
      <w:r>
        <w:rPr>
          <w:rFonts w:hint="eastAsia"/>
          <w:szCs w:val="24"/>
        </w:rPr>
        <w:t>施工现场应设置噪声监测点，并开展动态监测。</w:t>
      </w:r>
    </w:p>
    <w:p>
      <w:pPr>
        <w:pStyle w:val="19"/>
        <w:spacing w:afterLines="0"/>
        <w:ind w:left="480" w:firstLine="0" w:firstLineChars="0"/>
        <w:jc w:val="center"/>
        <w:rPr>
          <w:szCs w:val="24"/>
        </w:rPr>
      </w:pPr>
      <w:r>
        <w:drawing>
          <wp:inline distT="0" distB="0" distL="0" distR="0">
            <wp:extent cx="1914525" cy="2561590"/>
            <wp:effectExtent l="0" t="0" r="0" b="0"/>
            <wp:docPr id="14347" name="图片 14347" descr="https://timgsa.baidu.com/timg?image&amp;quality=80&amp;size=b9999_10000&amp;sec=1543901998043&amp;di=f8d9c4ff96acd4fa689fb8c58999bb49&amp;imgtype=0&amp;src=http%3A%2F%2Fl.b2b168.com%2F2018%2F03%2F21%2F16%2F20180321163848145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图片 14347" descr="https://timgsa.baidu.com/timg?image&amp;quality=80&amp;size=b9999_10000&amp;sec=1543901998043&amp;di=f8d9c4ff96acd4fa689fb8c58999bb49&amp;imgtype=0&amp;src=http%3A%2F%2Fl.b2b168.com%2F2018%2F03%2F21%2F16%2F20180321163848145364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14525" cy="2561688"/>
                    </a:xfrm>
                    <a:prstGeom prst="rect">
                      <a:avLst/>
                    </a:prstGeom>
                    <a:noFill/>
                    <a:ln>
                      <a:noFill/>
                    </a:ln>
                  </pic:spPr>
                </pic:pic>
              </a:graphicData>
            </a:graphic>
          </wp:inline>
        </w:drawing>
      </w:r>
      <w:r>
        <w:drawing>
          <wp:inline distT="0" distB="0" distL="0" distR="0">
            <wp:extent cx="1952625" cy="1952625"/>
            <wp:effectExtent l="0" t="0" r="9525" b="9525"/>
            <wp:docPr id="14348" name="图片 14348" descr="https://ss2.bdstatic.com/70cFvnSh_Q1YnxGkpoWK1HF6hhy/it/u=600973857,123808517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图片 14348" descr="https://ss2.bdstatic.com/70cFvnSh_Q1YnxGkpoWK1HF6hhy/it/u=600973857,1238085173&amp;fm=26&amp;gp=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951685" cy="1951685"/>
                    </a:xfrm>
                    <a:prstGeom prst="rect">
                      <a:avLst/>
                    </a:prstGeom>
                    <a:noFill/>
                    <a:ln>
                      <a:noFill/>
                    </a:ln>
                  </pic:spPr>
                </pic:pic>
              </a:graphicData>
            </a:graphic>
          </wp:inline>
        </w:drawing>
      </w:r>
    </w:p>
    <w:p>
      <w:pPr>
        <w:spacing w:after="312" w:afterLines="0"/>
        <w:jc w:val="center"/>
        <w:rPr>
          <w:szCs w:val="24"/>
        </w:rPr>
      </w:pPr>
      <w:r>
        <w:rPr>
          <w:rFonts w:hint="eastAsia"/>
          <w:szCs w:val="24"/>
        </w:rPr>
        <w:t>图5.5.7-1  固定噪声监测点     图5.5.7-2 噪声检测仪</w:t>
      </w:r>
    </w:p>
    <w:p>
      <w:pPr>
        <w:pStyle w:val="3"/>
        <w:numPr>
          <w:ilvl w:val="1"/>
          <w:numId w:val="2"/>
        </w:numPr>
        <w:spacing w:after="312"/>
        <w:jc w:val="center"/>
      </w:pPr>
      <w:bookmarkStart w:id="19" w:name="_Toc5809707"/>
      <w:r>
        <w:rPr>
          <w:rFonts w:hint="eastAsia"/>
        </w:rPr>
        <w:t>光污染控制</w:t>
      </w:r>
      <w:bookmarkEnd w:id="19"/>
    </w:p>
    <w:p>
      <w:pPr>
        <w:pStyle w:val="19"/>
        <w:numPr>
          <w:ilvl w:val="2"/>
          <w:numId w:val="18"/>
        </w:numPr>
        <w:spacing w:afterLines="0"/>
        <w:ind w:firstLineChars="0"/>
      </w:pPr>
      <w:r>
        <w:rPr>
          <w:rFonts w:hint="eastAsia"/>
        </w:rPr>
        <w:t>施工区，夜间照明灯具设置遮光罩。</w:t>
      </w:r>
    </w:p>
    <w:p>
      <w:pPr>
        <w:pStyle w:val="19"/>
        <w:spacing w:afterLines="0"/>
        <w:ind w:left="720" w:firstLine="0" w:firstLineChars="0"/>
        <w:jc w:val="center"/>
      </w:pPr>
      <w:r>
        <w:drawing>
          <wp:inline distT="0" distB="0" distL="0" distR="0">
            <wp:extent cx="2147570" cy="1981200"/>
            <wp:effectExtent l="38100" t="38100" r="43180" b="38100"/>
            <wp:docPr id="14" name="图片 14" descr="P103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1030549"/>
                    <pic:cNvPicPr>
                      <a:picLocks noChangeAspect="1" noChangeArrowheads="1"/>
                    </pic:cNvPicPr>
                  </pic:nvPicPr>
                  <pic:blipFill>
                    <a:blip r:embed="rId50">
                      <a:lum bright="14000"/>
                      <a:extLst>
                        <a:ext uri="{28A0092B-C50C-407E-A947-70E740481C1C}">
                          <a14:useLocalDpi xmlns:a14="http://schemas.microsoft.com/office/drawing/2010/main" val="0"/>
                        </a:ext>
                      </a:extLst>
                    </a:blip>
                    <a:srcRect/>
                    <a:stretch>
                      <a:fillRect/>
                    </a:stretch>
                  </pic:blipFill>
                  <pic:spPr>
                    <a:xfrm>
                      <a:off x="0" y="0"/>
                      <a:ext cx="2147687" cy="1981200"/>
                    </a:xfrm>
                    <a:prstGeom prst="rect">
                      <a:avLst/>
                    </a:prstGeom>
                    <a:noFill/>
                    <a:ln w="31750" cmpd="sng">
                      <a:solidFill>
                        <a:srgbClr val="33CCCC"/>
                      </a:solidFill>
                      <a:miter lim="800000"/>
                      <a:headEnd/>
                      <a:tailEnd/>
                    </a:ln>
                    <a:effectLst/>
                  </pic:spPr>
                </pic:pic>
              </a:graphicData>
            </a:graphic>
          </wp:inline>
        </w:drawing>
      </w:r>
    </w:p>
    <w:p>
      <w:pPr>
        <w:pStyle w:val="19"/>
        <w:spacing w:afterLines="0"/>
        <w:ind w:left="720" w:firstLine="0" w:firstLineChars="0"/>
        <w:jc w:val="center"/>
      </w:pPr>
      <w:r>
        <w:rPr>
          <w:rFonts w:hint="eastAsia"/>
        </w:rPr>
        <w:t>图 5.6.1-1 夜间照明灯遮光罩</w:t>
      </w:r>
    </w:p>
    <w:p>
      <w:pPr>
        <w:pStyle w:val="19"/>
        <w:spacing w:afterLines="0"/>
        <w:ind w:left="720" w:firstLine="0" w:firstLineChars="0"/>
        <w:jc w:val="center"/>
      </w:pPr>
      <w:r>
        <w:drawing>
          <wp:inline distT="0" distB="0" distL="0" distR="0">
            <wp:extent cx="3086100" cy="2386965"/>
            <wp:effectExtent l="0" t="0" r="0" b="0"/>
            <wp:docPr id="14354" name="图片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图片 14354"/>
                    <pic:cNvPicPr>
                      <a:picLocks noChangeAspect="1"/>
                    </pic:cNvPicPr>
                  </pic:nvPicPr>
                  <pic:blipFill>
                    <a:blip r:embed="rId51"/>
                    <a:stretch>
                      <a:fillRect/>
                    </a:stretch>
                  </pic:blipFill>
                  <pic:spPr>
                    <a:xfrm>
                      <a:off x="0" y="0"/>
                      <a:ext cx="3085715" cy="2387229"/>
                    </a:xfrm>
                    <a:prstGeom prst="rect">
                      <a:avLst/>
                    </a:prstGeom>
                  </pic:spPr>
                </pic:pic>
              </a:graphicData>
            </a:graphic>
          </wp:inline>
        </w:drawing>
      </w:r>
    </w:p>
    <w:p>
      <w:pPr>
        <w:pStyle w:val="19"/>
        <w:spacing w:afterLines="0"/>
        <w:ind w:left="720" w:firstLine="0" w:firstLineChars="0"/>
        <w:jc w:val="center"/>
      </w:pPr>
      <w:r>
        <w:rPr>
          <w:rFonts w:hint="eastAsia"/>
        </w:rPr>
        <w:t>图5.6.1-2 固定式防光护罩</w:t>
      </w:r>
    </w:p>
    <w:p>
      <w:pPr>
        <w:pStyle w:val="19"/>
        <w:numPr>
          <w:ilvl w:val="2"/>
          <w:numId w:val="18"/>
        </w:numPr>
        <w:spacing w:afterLines="0"/>
        <w:ind w:firstLineChars="0"/>
      </w:pPr>
      <w:r>
        <w:rPr>
          <w:rFonts w:hint="eastAsia"/>
        </w:rPr>
        <w:t>办公区、生活区夜间室外照明全部采用节能灯具。</w:t>
      </w:r>
    </w:p>
    <w:p>
      <w:pPr>
        <w:pStyle w:val="19"/>
        <w:numPr>
          <w:ilvl w:val="2"/>
          <w:numId w:val="18"/>
        </w:numPr>
        <w:spacing w:afterLines="0"/>
        <w:ind w:firstLineChars="0"/>
      </w:pPr>
      <w:r>
        <w:rPr>
          <w:rFonts w:hint="eastAsia"/>
        </w:rPr>
        <w:t>现场闪光对焊机除人工操作一侧外，其余四个侧面采用遮光模板遮蔽。</w:t>
      </w:r>
    </w:p>
    <w:p>
      <w:pPr>
        <w:pStyle w:val="19"/>
        <w:spacing w:afterLines="0"/>
        <w:ind w:left="720" w:firstLine="0" w:firstLineChars="0"/>
        <w:jc w:val="center"/>
      </w:pPr>
      <w:r>
        <w:drawing>
          <wp:inline distT="0" distB="0" distL="0" distR="0">
            <wp:extent cx="2603500" cy="1819275"/>
            <wp:effectExtent l="0" t="0" r="6350" b="0"/>
            <wp:docPr id="14336" name="图片 14336" descr="https://timgsa.baidu.com/timg?image&amp;quality=80&amp;size=b9999_10000&amp;sec=1543899006400&amp;di=1b73a399a197b6961f3a635113b5aebf&amp;imgtype=0&amp;src=http%3A%2F%2Fimage5.huangye88.com%2F2013%2F12%2F03%2F8b43d6711f723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图片 14336" descr="https://timgsa.baidu.com/timg?image&amp;quality=80&amp;size=b9999_10000&amp;sec=1543899006400&amp;di=1b73a399a197b6961f3a635113b5aebf&amp;imgtype=0&amp;src=http%3A%2F%2Fimage5.huangye88.com%2F2013%2F12%2F03%2F8b43d6711f72370d.jpg"/>
                    <pic:cNvPicPr>
                      <a:picLocks noChangeAspect="1" noChangeArrowheads="1"/>
                    </pic:cNvPicPr>
                  </pic:nvPicPr>
                  <pic:blipFill>
                    <a:blip r:embed="rId52" cstate="print">
                      <a:extLst>
                        <a:ext uri="{28A0092B-C50C-407E-A947-70E740481C1C}">
                          <a14:useLocalDpi xmlns:a14="http://schemas.microsoft.com/office/drawing/2010/main" val="0"/>
                        </a:ext>
                      </a:extLst>
                    </a:blip>
                    <a:srcRect b="6747"/>
                    <a:stretch>
                      <a:fillRect/>
                    </a:stretch>
                  </pic:blipFill>
                  <pic:spPr>
                    <a:xfrm>
                      <a:off x="0" y="0"/>
                      <a:ext cx="2603083" cy="1818881"/>
                    </a:xfrm>
                    <a:prstGeom prst="rect">
                      <a:avLst/>
                    </a:prstGeom>
                    <a:noFill/>
                    <a:ln>
                      <a:noFill/>
                    </a:ln>
                  </pic:spPr>
                </pic:pic>
              </a:graphicData>
            </a:graphic>
          </wp:inline>
        </w:drawing>
      </w:r>
    </w:p>
    <w:p>
      <w:pPr>
        <w:pStyle w:val="19"/>
        <w:spacing w:afterLines="0"/>
        <w:ind w:left="720" w:firstLine="0" w:firstLineChars="0"/>
        <w:jc w:val="center"/>
      </w:pPr>
      <w:r>
        <w:rPr>
          <w:rFonts w:hint="eastAsia"/>
        </w:rPr>
        <w:t>图5.6.3-1 对焊机活动遮光板</w:t>
      </w:r>
    </w:p>
    <w:p>
      <w:pPr>
        <w:pStyle w:val="3"/>
        <w:numPr>
          <w:ilvl w:val="1"/>
          <w:numId w:val="2"/>
        </w:numPr>
        <w:spacing w:after="312"/>
        <w:jc w:val="center"/>
      </w:pPr>
      <w:bookmarkStart w:id="20" w:name="_Toc5809708"/>
      <w:r>
        <w:rPr>
          <w:rFonts w:hint="eastAsia"/>
        </w:rPr>
        <w:t>闲置裸露土地整治</w:t>
      </w:r>
      <w:bookmarkEnd w:id="20"/>
    </w:p>
    <w:p>
      <w:pPr>
        <w:pStyle w:val="19"/>
        <w:numPr>
          <w:ilvl w:val="2"/>
          <w:numId w:val="19"/>
        </w:numPr>
        <w:spacing w:afterLines="0"/>
        <w:ind w:firstLineChars="0"/>
        <w:rPr>
          <w:szCs w:val="24"/>
        </w:rPr>
      </w:pPr>
      <w:r>
        <w:rPr>
          <w:szCs w:val="24"/>
        </w:rPr>
        <w:t>短期闲置裸露土地治理</w:t>
      </w:r>
    </w:p>
    <w:p>
      <w:pPr>
        <w:pStyle w:val="19"/>
        <w:numPr>
          <w:ilvl w:val="0"/>
          <w:numId w:val="20"/>
        </w:numPr>
        <w:spacing w:afterLines="0"/>
        <w:ind w:left="0" w:firstLine="480"/>
        <w:rPr>
          <w:szCs w:val="24"/>
        </w:rPr>
      </w:pPr>
      <w:r>
        <w:rPr>
          <w:rFonts w:hint="eastAsia"/>
          <w:szCs w:val="24"/>
        </w:rPr>
        <w:t>应对施工区域内闲置时间在2</w:t>
      </w:r>
      <w:r>
        <w:rPr>
          <w:szCs w:val="24"/>
        </w:rPr>
        <w:t>-12个月</w:t>
      </w:r>
      <w:r>
        <w:rPr>
          <w:rFonts w:hint="eastAsia"/>
          <w:szCs w:val="24"/>
        </w:rPr>
        <w:t>的裸露土地，</w:t>
      </w:r>
      <w:r>
        <w:rPr>
          <w:szCs w:val="24"/>
        </w:rPr>
        <w:t>通过播种成本不高的草皮方式对</w:t>
      </w:r>
      <w:r>
        <w:rPr>
          <w:rFonts w:hint="eastAsia"/>
          <w:szCs w:val="24"/>
        </w:rPr>
        <w:t>闲置</w:t>
      </w:r>
      <w:r>
        <w:rPr>
          <w:szCs w:val="24"/>
        </w:rPr>
        <w:t>土地实行临时绿化。为改善人行道遮阴需要</w:t>
      </w:r>
      <w:r>
        <w:rPr>
          <w:rFonts w:hint="eastAsia"/>
          <w:szCs w:val="24"/>
        </w:rPr>
        <w:t>，</w:t>
      </w:r>
      <w:r>
        <w:rPr>
          <w:szCs w:val="24"/>
        </w:rPr>
        <w:t>可在沿街限制地种植全冠袋装苗</w:t>
      </w:r>
      <w:r>
        <w:rPr>
          <w:rFonts w:hint="eastAsia"/>
          <w:szCs w:val="24"/>
        </w:rPr>
        <w:t>。</w:t>
      </w:r>
    </w:p>
    <w:p>
      <w:pPr>
        <w:pStyle w:val="19"/>
        <w:spacing w:afterLines="0"/>
        <w:ind w:left="480" w:firstLine="0" w:firstLineChars="0"/>
        <w:jc w:val="center"/>
        <w:rPr>
          <w:szCs w:val="24"/>
        </w:rPr>
      </w:pPr>
      <w:r>
        <w:drawing>
          <wp:inline distT="0" distB="0" distL="0" distR="0">
            <wp:extent cx="3711575" cy="2057400"/>
            <wp:effectExtent l="0" t="0" r="3175" b="0"/>
            <wp:docPr id="27" name="图片 27" descr="https://timgsa.baidu.com/timg?image&amp;quality=80&amp;size=b9999_10000&amp;sec=1543144526135&amp;di=646092309402c867b97e14e74120bd6f&amp;imgtype=0&amp;src=http%3A%2F%2Fimg.mp.itc.cn%2Fupload%2F20170526%2F386dbb5901dd458cae66d2900729d354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timgsa.baidu.com/timg?image&amp;quality=80&amp;size=b9999_10000&amp;sec=1543144526135&amp;di=646092309402c867b97e14e74120bd6f&amp;imgtype=0&amp;src=http%3A%2F%2Fimg.mp.itc.cn%2Fupload%2F20170526%2F386dbb5901dd458cae66d2900729d354_th.jpg"/>
                    <pic:cNvPicPr>
                      <a:picLocks noChangeAspect="1" noChangeArrowheads="1"/>
                    </pic:cNvPicPr>
                  </pic:nvPicPr>
                  <pic:blipFill>
                    <a:blip r:embed="rId53" cstate="print">
                      <a:extLst>
                        <a:ext uri="{28A0092B-C50C-407E-A947-70E740481C1C}">
                          <a14:useLocalDpi xmlns:a14="http://schemas.microsoft.com/office/drawing/2010/main" val="0"/>
                        </a:ext>
                      </a:extLst>
                    </a:blip>
                    <a:srcRect b="16576"/>
                    <a:stretch>
                      <a:fillRect/>
                    </a:stretch>
                  </pic:blipFill>
                  <pic:spPr>
                    <a:xfrm>
                      <a:off x="0" y="0"/>
                      <a:ext cx="3710916" cy="2056874"/>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图5.7.1-1 短期闲置裸露土地绿化</w:t>
      </w:r>
    </w:p>
    <w:p>
      <w:pPr>
        <w:pStyle w:val="19"/>
        <w:numPr>
          <w:ilvl w:val="0"/>
          <w:numId w:val="20"/>
        </w:numPr>
        <w:spacing w:afterLines="0"/>
        <w:ind w:left="0" w:firstLine="480"/>
        <w:rPr>
          <w:szCs w:val="24"/>
        </w:rPr>
      </w:pPr>
      <w:r>
        <w:rPr>
          <w:rFonts w:hint="eastAsia"/>
          <w:szCs w:val="24"/>
        </w:rPr>
        <w:t>施工区域</w:t>
      </w:r>
      <w:r>
        <w:rPr>
          <w:szCs w:val="24"/>
        </w:rPr>
        <w:t>需要较长期堆放的渣土、堆土等应覆盖遮阴网，喷水保湿、培育自然植被；或者种植成本不高、覆盖性强、生长较快的草本植物，实行临时绿化。</w:t>
      </w:r>
    </w:p>
    <w:p>
      <w:pPr>
        <w:pStyle w:val="19"/>
        <w:spacing w:afterLines="0"/>
        <w:ind w:left="480" w:firstLine="0" w:firstLineChars="0"/>
        <w:jc w:val="center"/>
        <w:rPr>
          <w:szCs w:val="24"/>
        </w:rPr>
      </w:pPr>
      <w:r>
        <w:rPr>
          <w:rFonts w:ascii="宋体" w:hAnsi="宋体"/>
          <w:bCs/>
          <w:sz w:val="32"/>
          <w:szCs w:val="32"/>
        </w:rPr>
        <w:drawing>
          <wp:inline distT="0" distB="0" distL="0" distR="0">
            <wp:extent cx="2835910" cy="2133600"/>
            <wp:effectExtent l="0" t="0" r="2540" b="0"/>
            <wp:docPr id="21" name="图片 21" descr="办公生活区绿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办公生活区绿化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839571" cy="2136191"/>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图5.7.1-2  较长期闲置空地绿化</w:t>
      </w:r>
    </w:p>
    <w:p>
      <w:pPr>
        <w:pStyle w:val="19"/>
        <w:numPr>
          <w:ilvl w:val="0"/>
          <w:numId w:val="20"/>
        </w:numPr>
        <w:spacing w:after="312" w:afterLines="0"/>
        <w:ind w:left="0" w:firstLine="480"/>
        <w:rPr>
          <w:szCs w:val="24"/>
        </w:rPr>
      </w:pPr>
      <w:r>
        <w:rPr>
          <w:szCs w:val="24"/>
        </w:rPr>
        <w:t>短期内不能按规划实施的空闲规划绿地，应播种</w:t>
      </w:r>
      <w:r>
        <w:rPr>
          <w:rFonts w:hint="eastAsia"/>
          <w:szCs w:val="24"/>
        </w:rPr>
        <w:t>快速易成植物</w:t>
      </w:r>
      <w:r>
        <w:rPr>
          <w:szCs w:val="24"/>
        </w:rPr>
        <w:t>或采取生态喷播的办法实行临时绿化。</w:t>
      </w:r>
    </w:p>
    <w:p>
      <w:pPr>
        <w:pStyle w:val="19"/>
        <w:numPr>
          <w:ilvl w:val="2"/>
          <w:numId w:val="19"/>
        </w:numPr>
        <w:spacing w:afterLines="0"/>
        <w:ind w:firstLineChars="0"/>
        <w:rPr>
          <w:szCs w:val="24"/>
        </w:rPr>
      </w:pPr>
      <w:r>
        <w:rPr>
          <w:szCs w:val="24"/>
        </w:rPr>
        <w:t>长期闲置</w:t>
      </w:r>
      <w:r>
        <w:rPr>
          <w:rFonts w:hint="eastAsia"/>
          <w:szCs w:val="24"/>
        </w:rPr>
        <w:t>（1年以上）</w:t>
      </w:r>
      <w:r>
        <w:rPr>
          <w:szCs w:val="24"/>
        </w:rPr>
        <w:t>裸露土地治理</w:t>
      </w:r>
    </w:p>
    <w:p>
      <w:pPr>
        <w:pStyle w:val="19"/>
        <w:numPr>
          <w:ilvl w:val="0"/>
          <w:numId w:val="21"/>
        </w:numPr>
        <w:spacing w:afterLines="0"/>
        <w:ind w:left="0" w:firstLine="480"/>
        <w:rPr>
          <w:szCs w:val="24"/>
        </w:rPr>
      </w:pPr>
      <w:r>
        <w:rPr>
          <w:rFonts w:hint="eastAsia"/>
          <w:szCs w:val="24"/>
        </w:rPr>
        <w:t>应对施工区域内闲置时间在1年以上</w:t>
      </w:r>
      <w:r>
        <w:rPr>
          <w:szCs w:val="24"/>
        </w:rPr>
        <w:t>的裸露土地，结合绿化苗木生产，通过苗木播种或栽植小苗等方式，形成片林或苗木储备地。</w:t>
      </w:r>
    </w:p>
    <w:p>
      <w:pPr>
        <w:pStyle w:val="19"/>
        <w:spacing w:afterLines="0"/>
        <w:ind w:left="480" w:firstLine="0" w:firstLineChars="0"/>
        <w:jc w:val="center"/>
        <w:rPr>
          <w:szCs w:val="24"/>
        </w:rPr>
      </w:pPr>
      <w:r>
        <w:drawing>
          <wp:inline distT="0" distB="0" distL="0" distR="0">
            <wp:extent cx="4133850" cy="20472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5"/>
                    <a:srcRect l="2166" t="3291" r="1986" b="10160"/>
                    <a:stretch>
                      <a:fillRect/>
                    </a:stretch>
                  </pic:blipFill>
                  <pic:spPr>
                    <a:xfrm>
                      <a:off x="0" y="0"/>
                      <a:ext cx="4131862" cy="2046478"/>
                    </a:xfrm>
                    <a:prstGeom prst="rect">
                      <a:avLst/>
                    </a:prstGeom>
                    <a:ln>
                      <a:noFill/>
                    </a:ln>
                  </pic:spPr>
                </pic:pic>
              </a:graphicData>
            </a:graphic>
          </wp:inline>
        </w:drawing>
      </w:r>
    </w:p>
    <w:p>
      <w:pPr>
        <w:pStyle w:val="19"/>
        <w:spacing w:afterLines="0"/>
        <w:ind w:left="480" w:firstLine="0" w:firstLineChars="0"/>
        <w:jc w:val="center"/>
        <w:rPr>
          <w:szCs w:val="24"/>
        </w:rPr>
      </w:pPr>
      <w:r>
        <w:rPr>
          <w:rFonts w:hint="eastAsia"/>
          <w:szCs w:val="24"/>
        </w:rPr>
        <w:t>图5.7.2-1  基坑临边地面绿化</w:t>
      </w:r>
    </w:p>
    <w:p>
      <w:pPr>
        <w:pStyle w:val="19"/>
        <w:numPr>
          <w:ilvl w:val="0"/>
          <w:numId w:val="21"/>
        </w:numPr>
        <w:spacing w:afterLines="0"/>
        <w:ind w:left="0" w:firstLine="480"/>
        <w:rPr>
          <w:szCs w:val="24"/>
        </w:rPr>
      </w:pPr>
      <w:r>
        <w:rPr>
          <w:rFonts w:hint="eastAsia"/>
          <w:szCs w:val="24"/>
        </w:rPr>
        <w:t>施工区域周边</w:t>
      </w:r>
      <w:r>
        <w:rPr>
          <w:szCs w:val="24"/>
        </w:rPr>
        <w:t>有比较严密遮挡的</w:t>
      </w:r>
      <w:r>
        <w:rPr>
          <w:rFonts w:hint="eastAsia"/>
          <w:szCs w:val="24"/>
        </w:rPr>
        <w:t>闲置裸露</w:t>
      </w:r>
      <w:r>
        <w:rPr>
          <w:szCs w:val="24"/>
        </w:rPr>
        <w:t>土地，可直接进行苗木播种或种植小苗，适当合理密植，作为临时苗圃</w:t>
      </w:r>
      <w:r>
        <w:rPr>
          <w:rFonts w:hint="eastAsia"/>
          <w:szCs w:val="24"/>
        </w:rPr>
        <w:t>。</w:t>
      </w:r>
    </w:p>
    <w:p>
      <w:pPr>
        <w:pStyle w:val="19"/>
        <w:numPr>
          <w:ilvl w:val="0"/>
          <w:numId w:val="21"/>
        </w:numPr>
        <w:spacing w:afterLines="0"/>
        <w:ind w:left="0" w:firstLine="480"/>
        <w:rPr>
          <w:szCs w:val="24"/>
        </w:rPr>
      </w:pPr>
      <w:r>
        <w:rPr>
          <w:rFonts w:hint="eastAsia"/>
          <w:szCs w:val="24"/>
        </w:rPr>
        <w:t>施工区域周边</w:t>
      </w:r>
      <w:r>
        <w:rPr>
          <w:szCs w:val="24"/>
        </w:rPr>
        <w:t>开敞、紧邻道路的</w:t>
      </w:r>
      <w:r>
        <w:rPr>
          <w:rFonts w:hint="eastAsia"/>
          <w:szCs w:val="24"/>
        </w:rPr>
        <w:t>闲置裸露</w:t>
      </w:r>
      <w:r>
        <w:rPr>
          <w:szCs w:val="24"/>
        </w:rPr>
        <w:t>土地，沿路边5-10m（宽度根据面积大小确定）范围内宜栽植常绿</w:t>
      </w:r>
      <w:r>
        <w:rPr>
          <w:rFonts w:hint="eastAsia"/>
          <w:szCs w:val="24"/>
        </w:rPr>
        <w:t>苗木</w:t>
      </w:r>
      <w:r>
        <w:rPr>
          <w:szCs w:val="24"/>
        </w:rPr>
        <w:t>，</w:t>
      </w:r>
      <w:r>
        <w:rPr>
          <w:rFonts w:hint="eastAsia"/>
          <w:szCs w:val="24"/>
        </w:rPr>
        <w:t>靠内侧</w:t>
      </w:r>
      <w:r>
        <w:rPr>
          <w:szCs w:val="24"/>
        </w:rPr>
        <w:t>部分进行苗木播种或种植小苗，形成生态绿化</w:t>
      </w:r>
      <w:r>
        <w:rPr>
          <w:rFonts w:hint="eastAsia"/>
          <w:szCs w:val="24"/>
        </w:rPr>
        <w:t>。</w:t>
      </w:r>
    </w:p>
    <w:p>
      <w:pPr>
        <w:pStyle w:val="19"/>
        <w:spacing w:afterLines="0"/>
        <w:ind w:left="480" w:firstLine="0" w:firstLineChars="0"/>
        <w:jc w:val="center"/>
        <w:rPr>
          <w:szCs w:val="24"/>
        </w:rPr>
      </w:pPr>
      <w:r>
        <w:drawing>
          <wp:inline distT="0" distB="0" distL="0" distR="0">
            <wp:extent cx="2819400" cy="2114550"/>
            <wp:effectExtent l="0" t="0" r="0" b="0"/>
            <wp:docPr id="14349" name="图片 14349" descr="https://timgsa.baidu.com/timg?image&amp;quality=80&amp;size=b9999_10000&amp;sec=1544497150&amp;di=dd47932b5ce1b37cf4aece3b200ab9de&amp;imgtype=jpg&amp;er=1&amp;src=http%3A%2F%2Fwww.hnmpw.com%2Fupload%2Fimages%2F2016%2F5%2F281847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图片 14349" descr="https://timgsa.baidu.com/timg?image&amp;quality=80&amp;size=b9999_10000&amp;sec=1544497150&amp;di=dd47932b5ce1b37cf4aece3b200ab9de&amp;imgtype=jpg&amp;er=1&amp;src=http%3A%2F%2Fwww.hnmpw.com%2Fupload%2Fimages%2F2016%2F5%2F28184735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821438" cy="2116079"/>
                    </a:xfrm>
                    <a:prstGeom prst="rect">
                      <a:avLst/>
                    </a:prstGeom>
                    <a:noFill/>
                    <a:ln>
                      <a:noFill/>
                    </a:ln>
                  </pic:spPr>
                </pic:pic>
              </a:graphicData>
            </a:graphic>
          </wp:inline>
        </w:drawing>
      </w:r>
    </w:p>
    <w:p>
      <w:pPr>
        <w:pStyle w:val="19"/>
        <w:spacing w:afterLines="0"/>
        <w:ind w:left="480" w:firstLine="0" w:firstLineChars="0"/>
        <w:jc w:val="center"/>
        <w:rPr>
          <w:szCs w:val="24"/>
        </w:rPr>
      </w:pPr>
      <w:r>
        <w:rPr>
          <w:rFonts w:hint="eastAsia"/>
          <w:szCs w:val="24"/>
        </w:rPr>
        <w:t>图5.7.2-2 工地闲置裸露区生态绿化</w:t>
      </w:r>
    </w:p>
    <w:p>
      <w:pPr>
        <w:pStyle w:val="19"/>
        <w:numPr>
          <w:ilvl w:val="0"/>
          <w:numId w:val="21"/>
        </w:numPr>
        <w:spacing w:afterLines="0"/>
        <w:ind w:left="0" w:firstLine="480"/>
        <w:rPr>
          <w:szCs w:val="24"/>
        </w:rPr>
      </w:pPr>
      <w:r>
        <w:rPr>
          <w:rFonts w:hint="eastAsia"/>
          <w:szCs w:val="24"/>
        </w:rPr>
        <w:t>施工区域周边闲置时间</w:t>
      </w:r>
      <w:r>
        <w:rPr>
          <w:szCs w:val="24"/>
        </w:rPr>
        <w:t>较长、面积较大、接近居民区的</w:t>
      </w:r>
      <w:r>
        <w:rPr>
          <w:rFonts w:hint="eastAsia"/>
          <w:szCs w:val="24"/>
        </w:rPr>
        <w:t>裸露土地</w:t>
      </w:r>
      <w:r>
        <w:rPr>
          <w:szCs w:val="24"/>
        </w:rPr>
        <w:t>，可以花卉、绿地相间</w:t>
      </w:r>
      <w:r>
        <w:rPr>
          <w:rFonts w:hint="eastAsia"/>
          <w:szCs w:val="24"/>
        </w:rPr>
        <w:t>配置</w:t>
      </w:r>
      <w:r>
        <w:rPr>
          <w:szCs w:val="24"/>
        </w:rPr>
        <w:t>，沿花畦田垄铺设简单小路，作为临时游园</w:t>
      </w:r>
      <w:r>
        <w:rPr>
          <w:rFonts w:hint="eastAsia"/>
          <w:szCs w:val="24"/>
        </w:rPr>
        <w:t>景观</w:t>
      </w:r>
      <w:r>
        <w:rPr>
          <w:szCs w:val="24"/>
        </w:rPr>
        <w:t>。</w:t>
      </w:r>
    </w:p>
    <w:p>
      <w:pPr>
        <w:pStyle w:val="19"/>
        <w:numPr>
          <w:ilvl w:val="0"/>
          <w:numId w:val="21"/>
        </w:numPr>
        <w:spacing w:after="312" w:afterLines="0"/>
        <w:ind w:left="0" w:firstLine="480"/>
        <w:rPr>
          <w:szCs w:val="24"/>
        </w:rPr>
      </w:pPr>
      <w:r>
        <w:rPr>
          <w:rFonts w:hint="eastAsia"/>
          <w:szCs w:val="24"/>
        </w:rPr>
        <w:t>应</w:t>
      </w:r>
      <w:r>
        <w:rPr>
          <w:szCs w:val="24"/>
        </w:rPr>
        <w:t>利用和保护施工用地范围内原有绿色植被。对于施工周期较长的现场，可按建筑永</w:t>
      </w:r>
      <w:r>
        <w:rPr>
          <w:rFonts w:hint="eastAsia"/>
          <w:szCs w:val="24"/>
        </w:rPr>
        <w:t>久绿化的要求，安排场地新建绿化。</w:t>
      </w:r>
    </w:p>
    <w:p>
      <w:pPr>
        <w:pStyle w:val="19"/>
        <w:spacing w:after="312" w:afterLines="0"/>
        <w:ind w:left="480" w:firstLine="0" w:firstLineChars="0"/>
        <w:jc w:val="center"/>
        <w:rPr>
          <w:szCs w:val="24"/>
        </w:rPr>
      </w:pPr>
      <w:r>
        <w:drawing>
          <wp:inline distT="0" distB="0" distL="0" distR="0">
            <wp:extent cx="3662680" cy="2200275"/>
            <wp:effectExtent l="0" t="0" r="0" b="0"/>
            <wp:docPr id="14344" name="图片 14344" descr="https://timgsa.baidu.com/timg?image&amp;quality=80&amp;size=b9999_10000&amp;sec=1543900904199&amp;di=e139841daeed7709d5b091639d624930&amp;imgtype=0&amp;src=http%3A%2F%2Fn1.itc.cn%2Fimg8%2Fwb%2Fsmccloud%2Frecom%2F2015%2F09%2F29%2F1443513546585268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图片 14344" descr="https://timgsa.baidu.com/timg?image&amp;quality=80&amp;size=b9999_10000&amp;sec=1543900904199&amp;di=e139841daeed7709d5b091639d624930&amp;imgtype=0&amp;src=http%3A%2F%2Fn1.itc.cn%2Fimg8%2Fwb%2Fsmccloud%2Frecom%2F2015%2F09%2F29%2F144351354658526893.JPEG"/>
                    <pic:cNvPicPr>
                      <a:picLocks noChangeAspect="1" noChangeArrowheads="1"/>
                    </pic:cNvPicPr>
                  </pic:nvPicPr>
                  <pic:blipFill>
                    <a:blip r:embed="rId57" cstate="print">
                      <a:extLst>
                        <a:ext uri="{28A0092B-C50C-407E-A947-70E740481C1C}">
                          <a14:useLocalDpi xmlns:a14="http://schemas.microsoft.com/office/drawing/2010/main" val="0"/>
                        </a:ext>
                      </a:extLst>
                    </a:blip>
                    <a:srcRect l="10112" t="18970"/>
                    <a:stretch>
                      <a:fillRect/>
                    </a:stretch>
                  </pic:blipFill>
                  <pic:spPr>
                    <a:xfrm>
                      <a:off x="0" y="0"/>
                      <a:ext cx="3662749" cy="2200069"/>
                    </a:xfrm>
                    <a:prstGeom prst="rect">
                      <a:avLst/>
                    </a:prstGeom>
                    <a:noFill/>
                    <a:ln>
                      <a:noFill/>
                    </a:ln>
                  </pic:spPr>
                </pic:pic>
              </a:graphicData>
            </a:graphic>
          </wp:inline>
        </w:drawing>
      </w:r>
    </w:p>
    <w:p>
      <w:pPr>
        <w:pStyle w:val="19"/>
        <w:spacing w:after="312" w:afterLines="0"/>
        <w:ind w:left="480" w:firstLine="0" w:firstLineChars="0"/>
        <w:jc w:val="center"/>
        <w:rPr>
          <w:szCs w:val="24"/>
        </w:rPr>
      </w:pPr>
      <w:r>
        <w:rPr>
          <w:rFonts w:hint="eastAsia"/>
          <w:szCs w:val="24"/>
        </w:rPr>
        <w:t>图5.7.2-3  原有草皮回铺</w:t>
      </w:r>
    </w:p>
    <w:p>
      <w:pPr>
        <w:pStyle w:val="19"/>
        <w:numPr>
          <w:ilvl w:val="2"/>
          <w:numId w:val="19"/>
        </w:numPr>
        <w:spacing w:afterLines="0"/>
        <w:ind w:firstLineChars="0"/>
        <w:rPr>
          <w:szCs w:val="24"/>
        </w:rPr>
      </w:pPr>
      <w:r>
        <w:rPr>
          <w:szCs w:val="24"/>
        </w:rPr>
        <w:t>渣土堆放及覆盖</w:t>
      </w:r>
    </w:p>
    <w:p>
      <w:pPr>
        <w:pStyle w:val="19"/>
        <w:numPr>
          <w:ilvl w:val="0"/>
          <w:numId w:val="22"/>
        </w:numPr>
        <w:spacing w:afterLines="0"/>
        <w:ind w:left="0" w:firstLine="480"/>
        <w:rPr>
          <w:szCs w:val="24"/>
        </w:rPr>
      </w:pPr>
      <w:r>
        <w:rPr>
          <w:rFonts w:hint="eastAsia"/>
          <w:szCs w:val="24"/>
        </w:rPr>
        <w:t>渣</w:t>
      </w:r>
      <w:r>
        <w:rPr>
          <w:szCs w:val="24"/>
        </w:rPr>
        <w:t>土堆边缘应适当垒砌砖石加以围挡处理，防止泥土冲刷污染周围环境。</w:t>
      </w:r>
      <w:r>
        <w:rPr>
          <w:rFonts w:hint="eastAsia"/>
          <w:szCs w:val="24"/>
        </w:rPr>
        <w:t>渣</w:t>
      </w:r>
      <w:r>
        <w:rPr>
          <w:szCs w:val="24"/>
        </w:rPr>
        <w:t>土堆应全面覆盖遮阴网，经常喷水，防止扬尘。</w:t>
      </w:r>
    </w:p>
    <w:p>
      <w:pPr>
        <w:pStyle w:val="19"/>
        <w:numPr>
          <w:ilvl w:val="0"/>
          <w:numId w:val="22"/>
        </w:numPr>
        <w:spacing w:afterLines="0"/>
        <w:ind w:left="0" w:firstLine="480"/>
        <w:rPr>
          <w:szCs w:val="24"/>
        </w:rPr>
      </w:pPr>
      <w:r>
        <w:rPr>
          <w:rFonts w:hint="eastAsia"/>
          <w:szCs w:val="24"/>
        </w:rPr>
        <w:t>渣土堆</w:t>
      </w:r>
      <w:r>
        <w:rPr>
          <w:szCs w:val="24"/>
        </w:rPr>
        <w:t>进行草种、花卉</w:t>
      </w:r>
      <w:r>
        <w:rPr>
          <w:rFonts w:hint="eastAsia"/>
          <w:szCs w:val="24"/>
        </w:rPr>
        <w:t>播撒时</w:t>
      </w:r>
      <w:r>
        <w:rPr>
          <w:szCs w:val="24"/>
        </w:rPr>
        <w:t>，应使植物种子与表层土壤结合密切，</w:t>
      </w:r>
      <w:r>
        <w:rPr>
          <w:rFonts w:hint="eastAsia"/>
          <w:szCs w:val="24"/>
        </w:rPr>
        <w:t>并</w:t>
      </w:r>
      <w:r>
        <w:rPr>
          <w:szCs w:val="24"/>
        </w:rPr>
        <w:t>喷水保湿，勤于养护，直至植物正常生长达到覆盖目的。</w:t>
      </w:r>
    </w:p>
    <w:p>
      <w:pPr>
        <w:pStyle w:val="19"/>
        <w:numPr>
          <w:ilvl w:val="0"/>
          <w:numId w:val="22"/>
        </w:numPr>
        <w:spacing w:after="312" w:afterLines="0"/>
        <w:ind w:left="0" w:firstLine="480"/>
        <w:rPr>
          <w:szCs w:val="24"/>
        </w:rPr>
      </w:pPr>
      <w:r>
        <w:rPr>
          <w:szCs w:val="24"/>
        </w:rPr>
        <w:t>施工工地堆土场宜</w:t>
      </w:r>
      <w:r>
        <w:rPr>
          <w:rFonts w:hint="eastAsia"/>
          <w:szCs w:val="24"/>
        </w:rPr>
        <w:t>设置</w:t>
      </w:r>
      <w:r>
        <w:rPr>
          <w:szCs w:val="24"/>
        </w:rPr>
        <w:t>简易喷灌设施，适时喷水保湿。</w:t>
      </w:r>
      <w:bookmarkStart w:id="45" w:name="_GoBack"/>
      <w:bookmarkEnd w:id="45"/>
    </w:p>
    <w:p>
      <w:pPr>
        <w:pStyle w:val="19"/>
        <w:numPr>
          <w:ilvl w:val="2"/>
          <w:numId w:val="19"/>
        </w:numPr>
        <w:spacing w:afterLines="0"/>
        <w:ind w:firstLineChars="0"/>
        <w:rPr>
          <w:szCs w:val="24"/>
        </w:rPr>
      </w:pPr>
      <w:r>
        <w:rPr>
          <w:szCs w:val="24"/>
        </w:rPr>
        <w:t>拆迁形成闲置土地</w:t>
      </w:r>
    </w:p>
    <w:p>
      <w:pPr>
        <w:pStyle w:val="19"/>
        <w:numPr>
          <w:ilvl w:val="0"/>
          <w:numId w:val="23"/>
        </w:numPr>
        <w:spacing w:afterLines="0"/>
        <w:ind w:left="0" w:firstLine="480"/>
        <w:rPr>
          <w:szCs w:val="24"/>
        </w:rPr>
      </w:pPr>
      <w:r>
        <w:rPr>
          <w:rFonts w:hint="eastAsia"/>
          <w:szCs w:val="24"/>
        </w:rPr>
        <w:t>拆迁形成闲置地，</w:t>
      </w:r>
      <w:r>
        <w:rPr>
          <w:szCs w:val="24"/>
        </w:rPr>
        <w:t>清理现场大块建筑垃圾，平整场地。在可以生长植物</w:t>
      </w:r>
      <w:r>
        <w:rPr>
          <w:rFonts w:hint="eastAsia"/>
          <w:szCs w:val="24"/>
        </w:rPr>
        <w:t>区域</w:t>
      </w:r>
      <w:r>
        <w:rPr>
          <w:szCs w:val="24"/>
        </w:rPr>
        <w:t>撒播草种或花卉组合，可加入一定比例覆盖力强的藤本植物，如五叶地锦、瓜豆类爬藤植物等，喷水保湿养护，使其尽快生长，达到覆盖效果。</w:t>
      </w:r>
    </w:p>
    <w:p>
      <w:pPr>
        <w:pStyle w:val="19"/>
        <w:numPr>
          <w:ilvl w:val="0"/>
          <w:numId w:val="23"/>
        </w:numPr>
        <w:spacing w:afterLines="0"/>
        <w:ind w:left="0" w:firstLine="480"/>
        <w:rPr>
          <w:szCs w:val="24"/>
        </w:rPr>
      </w:pPr>
      <w:r>
        <w:rPr>
          <w:rFonts w:hint="eastAsia"/>
          <w:szCs w:val="24"/>
        </w:rPr>
        <w:t>拆迁施工过程中，</w:t>
      </w:r>
      <w:r>
        <w:rPr>
          <w:szCs w:val="24"/>
        </w:rPr>
        <w:t>红线外临时占地应尽量使用荒地、废地，</w:t>
      </w:r>
      <w:r>
        <w:rPr>
          <w:rFonts w:hint="eastAsia"/>
          <w:szCs w:val="24"/>
        </w:rPr>
        <w:t>避免</w:t>
      </w:r>
      <w:r>
        <w:rPr>
          <w:szCs w:val="24"/>
        </w:rPr>
        <w:t>占用耕地</w:t>
      </w:r>
      <w:r>
        <w:rPr>
          <w:rFonts w:hint="eastAsia"/>
          <w:szCs w:val="24"/>
        </w:rPr>
        <w:t>，尤其是永久基本农田</w:t>
      </w:r>
      <w:r>
        <w:rPr>
          <w:szCs w:val="24"/>
        </w:rPr>
        <w:t>。</w:t>
      </w:r>
    </w:p>
    <w:p>
      <w:pPr>
        <w:pStyle w:val="19"/>
        <w:numPr>
          <w:ilvl w:val="0"/>
          <w:numId w:val="23"/>
        </w:numPr>
        <w:spacing w:after="240" w:afterLines="0"/>
        <w:ind w:left="0" w:firstLine="480"/>
      </w:pPr>
      <w:r>
        <w:rPr>
          <w:rFonts w:hint="eastAsia"/>
          <w:szCs w:val="24"/>
        </w:rPr>
        <w:t>拆除施工时应在7天内将废弃物清理完毕。</w:t>
      </w:r>
    </w:p>
    <w:p>
      <w:pPr>
        <w:pStyle w:val="3"/>
        <w:numPr>
          <w:ilvl w:val="1"/>
          <w:numId w:val="2"/>
        </w:numPr>
        <w:spacing w:after="312"/>
        <w:jc w:val="center"/>
      </w:pPr>
      <w:bookmarkStart w:id="21" w:name="_Toc5809709"/>
      <w:r>
        <w:rPr>
          <w:rFonts w:hint="eastAsia"/>
        </w:rPr>
        <w:t>机械设备与机具</w:t>
      </w:r>
      <w:bookmarkEnd w:id="21"/>
    </w:p>
    <w:p>
      <w:pPr>
        <w:pStyle w:val="19"/>
        <w:numPr>
          <w:ilvl w:val="2"/>
          <w:numId w:val="24"/>
        </w:numPr>
        <w:spacing w:afterLines="0"/>
        <w:ind w:left="0" w:firstLine="480"/>
        <w:rPr>
          <w:szCs w:val="24"/>
        </w:rPr>
      </w:pPr>
      <w:r>
        <w:rPr>
          <w:rFonts w:hint="eastAsia"/>
          <w:szCs w:val="24"/>
        </w:rPr>
        <w:t>应建立施工机械设备档案和管理制度，开展耗能、耗水及排污计量，定期维修保养工作，做到停工关机。</w:t>
      </w:r>
    </w:p>
    <w:p>
      <w:pPr>
        <w:pStyle w:val="19"/>
        <w:numPr>
          <w:ilvl w:val="2"/>
          <w:numId w:val="24"/>
        </w:numPr>
        <w:spacing w:afterLines="0"/>
        <w:ind w:left="0" w:firstLine="480"/>
        <w:rPr>
          <w:szCs w:val="24"/>
        </w:rPr>
      </w:pPr>
      <w:r>
        <w:rPr>
          <w:rFonts w:hint="eastAsia"/>
          <w:szCs w:val="24"/>
        </w:rPr>
        <w:t>应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pPr>
        <w:pStyle w:val="19"/>
        <w:numPr>
          <w:ilvl w:val="2"/>
          <w:numId w:val="24"/>
        </w:numPr>
        <w:spacing w:afterLines="0"/>
        <w:ind w:left="0" w:firstLine="480"/>
        <w:rPr>
          <w:szCs w:val="24"/>
        </w:rPr>
      </w:pPr>
      <w:r>
        <w:rPr>
          <w:rFonts w:hint="eastAsia"/>
          <w:szCs w:val="24"/>
        </w:rPr>
        <w:t>砂浆搅拌机操作人员必须正确佩带和使用防尘口罩、防尘帽、防护手套。来达到保护操作工呼吸器官不受粉尘侵害的目的。</w:t>
      </w:r>
    </w:p>
    <w:p>
      <w:pPr>
        <w:pStyle w:val="19"/>
        <w:numPr>
          <w:ilvl w:val="2"/>
          <w:numId w:val="24"/>
        </w:numPr>
        <w:spacing w:afterLines="0"/>
        <w:ind w:left="0" w:firstLine="480"/>
        <w:rPr>
          <w:szCs w:val="24"/>
        </w:rPr>
      </w:pPr>
      <w:r>
        <w:rPr>
          <w:rFonts w:hint="eastAsia"/>
          <w:szCs w:val="24"/>
        </w:rPr>
        <w:t>机械设备与机具应使用0#柴油，并加强设备维修，确保不出现冒黑烟问题。施工机械废弃排放应符合国家相关标准。</w:t>
      </w:r>
    </w:p>
    <w:p>
      <w:pPr>
        <w:spacing w:after="312" w:afterLines="0"/>
        <w:rPr>
          <w:szCs w:val="24"/>
        </w:rPr>
      </w:pPr>
    </w:p>
    <w:p>
      <w:pPr>
        <w:spacing w:after="312" w:afterLines="0"/>
        <w:rPr>
          <w:szCs w:val="24"/>
        </w:rPr>
        <w:sectPr>
          <w:pgSz w:w="11906" w:h="16838"/>
          <w:pgMar w:top="1440" w:right="1800" w:bottom="1440" w:left="1800" w:header="851" w:footer="992" w:gutter="0"/>
          <w:cols w:space="425" w:num="1"/>
          <w:docGrid w:type="lines" w:linePitch="312" w:charSpace="0"/>
        </w:sectPr>
      </w:pPr>
    </w:p>
    <w:p>
      <w:pPr>
        <w:pStyle w:val="2"/>
        <w:numPr>
          <w:ilvl w:val="0"/>
          <w:numId w:val="24"/>
        </w:numPr>
        <w:spacing w:after="312"/>
        <w:rPr>
          <w:rFonts w:cs="Times New Roman"/>
        </w:rPr>
      </w:pPr>
      <w:bookmarkStart w:id="22" w:name="_Toc5809710"/>
      <w:r>
        <w:rPr>
          <w:rFonts w:hint="eastAsia" w:cs="Times New Roman"/>
        </w:rPr>
        <w:t>道路工程</w:t>
      </w:r>
      <w:bookmarkEnd w:id="22"/>
    </w:p>
    <w:p>
      <w:pPr>
        <w:pStyle w:val="3"/>
        <w:numPr>
          <w:ilvl w:val="0"/>
          <w:numId w:val="25"/>
        </w:numPr>
        <w:spacing w:after="312" w:line="415" w:lineRule="auto"/>
        <w:jc w:val="center"/>
      </w:pPr>
      <w:bookmarkStart w:id="23" w:name="_Toc5809711"/>
      <w:r>
        <w:rPr>
          <w:rFonts w:hint="eastAsia"/>
        </w:rPr>
        <w:t>设计阶段环保措施</w:t>
      </w:r>
      <w:bookmarkEnd w:id="23"/>
    </w:p>
    <w:p>
      <w:pPr>
        <w:pStyle w:val="19"/>
        <w:numPr>
          <w:ilvl w:val="2"/>
          <w:numId w:val="16"/>
        </w:numPr>
        <w:spacing w:after="312"/>
        <w:ind w:left="0" w:firstLine="0" w:firstLineChars="0"/>
      </w:pPr>
      <w:r>
        <w:rPr>
          <w:rFonts w:hint="eastAsia"/>
        </w:rPr>
        <w:t>工程设计中必须确保工程要求与减少建设用地的合理统一，尽最大可能减少对耕地的占用。</w:t>
      </w:r>
    </w:p>
    <w:p>
      <w:pPr>
        <w:pStyle w:val="19"/>
        <w:numPr>
          <w:ilvl w:val="2"/>
          <w:numId w:val="16"/>
        </w:numPr>
        <w:spacing w:after="312"/>
        <w:ind w:left="0" w:firstLine="0" w:firstLineChars="0"/>
      </w:pPr>
      <w:r>
        <w:rPr>
          <w:rFonts w:hint="eastAsia"/>
        </w:rPr>
        <w:t>在项目区农田数量较多的地区，在工程的总体规划中必须考虑施工对农业生产的影响，将农业损失纳入到工程预算中，通过农业区时，尽量缩小影响范围，减少损失，降低工程对农业生态环境的干扰和破坏。</w:t>
      </w:r>
    </w:p>
    <w:p>
      <w:pPr>
        <w:pStyle w:val="19"/>
        <w:numPr>
          <w:ilvl w:val="2"/>
          <w:numId w:val="16"/>
        </w:numPr>
        <w:spacing w:afterLines="0"/>
        <w:ind w:left="0" w:firstLine="0" w:firstLineChars="0"/>
      </w:pPr>
      <w:bookmarkStart w:id="24" w:name="OLE_LINK3"/>
      <w:r>
        <w:rPr>
          <w:rFonts w:hint="eastAsia"/>
        </w:rPr>
        <w:t>优化工程选线绕开大树，对大树实施就地保护。</w:t>
      </w:r>
    </w:p>
    <w:bookmarkEnd w:id="24"/>
    <w:p>
      <w:pPr>
        <w:pStyle w:val="19"/>
        <w:spacing w:after="312"/>
        <w:ind w:firstLine="0" w:firstLineChars="0"/>
        <w:rPr>
          <w:rFonts w:ascii="仿宋_GB2312" w:eastAsia="仿宋_GB2312"/>
        </w:rPr>
      </w:pPr>
      <w:r>
        <w:rPr>
          <w:rFonts w:hint="eastAsia" w:ascii="仿宋_GB2312" w:eastAsia="仿宋_GB2312"/>
          <w:b/>
        </w:rPr>
        <w:t>注</w:t>
      </w:r>
      <w:r>
        <w:rPr>
          <w:rFonts w:hint="eastAsia" w:ascii="仿宋_GB2312" w:eastAsia="仿宋_GB2312"/>
        </w:rPr>
        <w:t>：在大树树冠外缘2m范围内不允许堆放物料，不得损害表土层，不得设置施工便道、施工生产生活区、临时堆放场、取土场和弃渣场，避开施工过程中对大树的损害。</w:t>
      </w:r>
    </w:p>
    <w:p>
      <w:pPr>
        <w:pStyle w:val="19"/>
        <w:numPr>
          <w:ilvl w:val="2"/>
          <w:numId w:val="16"/>
        </w:numPr>
        <w:spacing w:afterLines="0"/>
        <w:ind w:left="0" w:firstLine="0" w:firstLineChars="0"/>
      </w:pPr>
      <w:r>
        <w:rPr>
          <w:rFonts w:hint="eastAsia"/>
        </w:rPr>
        <w:t>绿化设计</w:t>
      </w:r>
    </w:p>
    <w:p>
      <w:pPr>
        <w:pStyle w:val="19"/>
        <w:numPr>
          <w:ilvl w:val="0"/>
          <w:numId w:val="26"/>
        </w:numPr>
        <w:spacing w:afterLines="0"/>
        <w:ind w:left="0" w:firstLine="480"/>
      </w:pPr>
      <w:r>
        <w:rPr>
          <w:rFonts w:hint="eastAsia"/>
        </w:rPr>
        <w:t>道路两侧绿化应考虑路基防护、道路景观及环保功能，如水土保持、降噪、防治空气污染等。</w:t>
      </w:r>
    </w:p>
    <w:p>
      <w:pPr>
        <w:pStyle w:val="19"/>
        <w:numPr>
          <w:ilvl w:val="0"/>
          <w:numId w:val="26"/>
        </w:numPr>
        <w:spacing w:afterLines="0"/>
        <w:ind w:left="0" w:firstLine="480"/>
      </w:pPr>
      <w:r>
        <w:rPr>
          <w:rFonts w:hint="eastAsia"/>
        </w:rPr>
        <w:t>路基边坡植物应选择根系发达、固土护坡能力强、抗污染能力强的树种或草种。</w:t>
      </w:r>
    </w:p>
    <w:p>
      <w:pPr>
        <w:pStyle w:val="3"/>
        <w:numPr>
          <w:ilvl w:val="0"/>
          <w:numId w:val="25"/>
        </w:numPr>
        <w:spacing w:after="312" w:line="415" w:lineRule="auto"/>
        <w:jc w:val="center"/>
      </w:pPr>
      <w:bookmarkStart w:id="25" w:name="_Toc5809712"/>
      <w:r>
        <w:rPr>
          <w:rFonts w:hint="eastAsia"/>
        </w:rPr>
        <w:t>临时道路及施工运输</w:t>
      </w:r>
      <w:bookmarkEnd w:id="25"/>
    </w:p>
    <w:p>
      <w:pPr>
        <w:pStyle w:val="19"/>
        <w:numPr>
          <w:ilvl w:val="0"/>
          <w:numId w:val="27"/>
        </w:numPr>
        <w:spacing w:afterLines="0"/>
        <w:ind w:left="0" w:firstLine="0" w:firstLineChars="0"/>
      </w:pPr>
      <w:r>
        <w:rPr>
          <w:rFonts w:hint="eastAsia"/>
        </w:rPr>
        <w:t>临时道路应充分利用已有道路。新建临时道路时，应优先考虑使用设计红线范围内的土地，以减少借地面积和破坏植被。</w:t>
      </w:r>
    </w:p>
    <w:p>
      <w:pPr>
        <w:pStyle w:val="19"/>
        <w:spacing w:afterLines="0"/>
        <w:ind w:firstLine="0" w:firstLineChars="0"/>
        <w:jc w:val="center"/>
      </w:pPr>
      <w:r>
        <w:drawing>
          <wp:inline distT="0" distB="0" distL="0" distR="0">
            <wp:extent cx="3867785" cy="2113915"/>
            <wp:effectExtent l="0" t="0" r="0" b="635"/>
            <wp:docPr id="4" name="图片 4" descr="C:\Users\fu_db\AppData\Local\Temp\WeChat Files\4c47c422c4df2cf6e23c2757594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fu_db\AppData\Local\Temp\WeChat Files\4c47c422c4df2cf6e23c27575944344.jpg"/>
                    <pic:cNvPicPr>
                      <a:picLocks noChangeAspect="1" noChangeArrowheads="1"/>
                    </pic:cNvPicPr>
                  </pic:nvPicPr>
                  <pic:blipFill>
                    <a:blip r:embed="rId58">
                      <a:extLst>
                        <a:ext uri="{28A0092B-C50C-407E-A947-70E740481C1C}">
                          <a14:useLocalDpi xmlns:a14="http://schemas.microsoft.com/office/drawing/2010/main" val="0"/>
                        </a:ext>
                      </a:extLst>
                    </a:blip>
                    <a:srcRect l="7766" t="10293" r="8981" b="55576"/>
                    <a:stretch>
                      <a:fillRect/>
                    </a:stretch>
                  </pic:blipFill>
                  <pic:spPr>
                    <a:xfrm>
                      <a:off x="0" y="0"/>
                      <a:ext cx="3892318" cy="2127689"/>
                    </a:xfrm>
                    <a:prstGeom prst="rect">
                      <a:avLst/>
                    </a:prstGeom>
                    <a:noFill/>
                    <a:ln>
                      <a:noFill/>
                    </a:ln>
                  </pic:spPr>
                </pic:pic>
              </a:graphicData>
            </a:graphic>
          </wp:inline>
        </w:drawing>
      </w:r>
    </w:p>
    <w:p>
      <w:pPr>
        <w:pStyle w:val="19"/>
        <w:spacing w:afterLines="0"/>
        <w:ind w:firstLine="0" w:firstLineChars="0"/>
        <w:jc w:val="center"/>
      </w:pPr>
      <w:r>
        <w:rPr>
          <w:rFonts w:hint="eastAsia"/>
        </w:rPr>
        <w:t>图6</w:t>
      </w:r>
      <w:r>
        <w:t xml:space="preserve">.2.1-1 </w:t>
      </w:r>
      <w:r>
        <w:rPr>
          <w:rFonts w:hint="eastAsia"/>
        </w:rPr>
        <w:t>施工便道示意图（利用桥下空间土地）</w:t>
      </w:r>
    </w:p>
    <w:p>
      <w:pPr>
        <w:pStyle w:val="19"/>
        <w:spacing w:afterLines="0"/>
        <w:ind w:firstLine="0" w:firstLineChars="0"/>
        <w:jc w:val="center"/>
      </w:pPr>
      <w:r>
        <w:drawing>
          <wp:inline distT="0" distB="0" distL="0" distR="0">
            <wp:extent cx="3842385" cy="1866900"/>
            <wp:effectExtent l="0" t="0" r="5715" b="0"/>
            <wp:docPr id="10" name="图片 10" descr="C:\Users\fu_db\AppData\Local\Temp\WeChat Files\4c47c422c4df2cf6e23c2757594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fu_db\AppData\Local\Temp\WeChat Files\4c47c422c4df2cf6e23c27575944344.jpg"/>
                    <pic:cNvPicPr>
                      <a:picLocks noChangeAspect="1" noChangeArrowheads="1"/>
                    </pic:cNvPicPr>
                  </pic:nvPicPr>
                  <pic:blipFill>
                    <a:blip r:embed="rId58" cstate="print">
                      <a:extLst>
                        <a:ext uri="{28A0092B-C50C-407E-A947-70E740481C1C}">
                          <a14:useLocalDpi xmlns:a14="http://schemas.microsoft.com/office/drawing/2010/main" val="0"/>
                        </a:ext>
                      </a:extLst>
                    </a:blip>
                    <a:srcRect t="49164" b="14402"/>
                    <a:stretch>
                      <a:fillRect/>
                    </a:stretch>
                  </pic:blipFill>
                  <pic:spPr>
                    <a:xfrm>
                      <a:off x="0" y="0"/>
                      <a:ext cx="3873064" cy="1881508"/>
                    </a:xfrm>
                    <a:prstGeom prst="rect">
                      <a:avLst/>
                    </a:prstGeom>
                    <a:noFill/>
                    <a:ln>
                      <a:noFill/>
                    </a:ln>
                  </pic:spPr>
                </pic:pic>
              </a:graphicData>
            </a:graphic>
          </wp:inline>
        </w:drawing>
      </w:r>
    </w:p>
    <w:p>
      <w:pPr>
        <w:pStyle w:val="19"/>
        <w:spacing w:afterLines="0"/>
        <w:ind w:firstLine="0" w:firstLineChars="0"/>
        <w:jc w:val="center"/>
      </w:pPr>
      <w:r>
        <w:rPr>
          <w:rFonts w:hint="eastAsia"/>
        </w:rPr>
        <w:t>图6</w:t>
      </w:r>
      <w:r>
        <w:t xml:space="preserve">.2.1-2 </w:t>
      </w:r>
      <w:r>
        <w:rPr>
          <w:rFonts w:hint="eastAsia"/>
        </w:rPr>
        <w:t>施工便道示意图（部分利用红线内土地）</w:t>
      </w:r>
    </w:p>
    <w:p>
      <w:pPr>
        <w:pStyle w:val="19"/>
        <w:numPr>
          <w:ilvl w:val="0"/>
          <w:numId w:val="27"/>
        </w:numPr>
        <w:spacing w:afterLines="0"/>
        <w:ind w:left="0" w:firstLine="0" w:firstLineChars="0"/>
      </w:pPr>
      <w:r>
        <w:rPr>
          <w:rFonts w:hint="eastAsia"/>
        </w:rPr>
        <w:t>施工栈桥桥位应选择在河道平顺、河岸地质条件较好的位置，合理设置桥梁跨径，以减少对河道的压缩。栈桥桩基宜采用打入桩。</w:t>
      </w:r>
    </w:p>
    <w:p>
      <w:pPr>
        <w:pStyle w:val="19"/>
        <w:numPr>
          <w:ilvl w:val="0"/>
          <w:numId w:val="27"/>
        </w:numPr>
        <w:spacing w:afterLines="0"/>
        <w:ind w:left="0" w:firstLine="0" w:firstLineChars="0"/>
      </w:pPr>
      <w:r>
        <w:rPr>
          <w:rFonts w:hint="eastAsia"/>
        </w:rPr>
        <w:t>临时道路边界可能出现的土质裸露边坡，宜采用生态防护措施进行拂绿，并采取必要的措施防止土壤的自然侵蚀。</w:t>
      </w:r>
    </w:p>
    <w:p>
      <w:pPr>
        <w:pStyle w:val="19"/>
        <w:numPr>
          <w:ilvl w:val="0"/>
          <w:numId w:val="27"/>
        </w:numPr>
        <w:spacing w:afterLines="0"/>
        <w:ind w:left="0" w:firstLine="0" w:firstLineChars="0"/>
      </w:pPr>
      <w:r>
        <w:rPr>
          <w:rFonts w:hint="eastAsia"/>
        </w:rPr>
        <w:t>成立养护班组，加强对临时道路的维护和保养，并配备洒水车进行洒水降尘，确保临时道路处于良好运输状态。</w:t>
      </w:r>
    </w:p>
    <w:p>
      <w:pPr>
        <w:pStyle w:val="19"/>
        <w:numPr>
          <w:ilvl w:val="0"/>
          <w:numId w:val="27"/>
        </w:numPr>
        <w:spacing w:afterLines="0"/>
        <w:ind w:left="0" w:firstLine="0" w:firstLineChars="0"/>
      </w:pPr>
      <w:r>
        <w:rPr>
          <w:rFonts w:hint="eastAsia"/>
        </w:rPr>
        <w:t>施工结束后，应及时拆除施工栈桥、桩基、桥台等临时结构物，恢复原貌，不得遗留。</w:t>
      </w:r>
    </w:p>
    <w:p>
      <w:pPr>
        <w:pStyle w:val="19"/>
        <w:numPr>
          <w:ilvl w:val="0"/>
          <w:numId w:val="27"/>
        </w:numPr>
        <w:spacing w:afterLines="0"/>
        <w:ind w:left="0" w:firstLine="0" w:firstLineChars="0"/>
      </w:pPr>
      <w:r>
        <w:rPr>
          <w:rFonts w:hint="eastAsia"/>
        </w:rPr>
        <w:t>施工运输车辆应保证车况完好，并采用全封闭运输车或用篷布将车厢覆盖严密，装载高度不得超过运输车侧板顶部，防止运输过程中漏撒对道路造成污染。材料装卸是硬尽量降低落差，以减少扬尘。沥青混合料运输车应有车体保温和覆盖措施，减少热量损失、防止污染和雨淋。</w:t>
      </w:r>
    </w:p>
    <w:p>
      <w:pPr>
        <w:pStyle w:val="19"/>
        <w:spacing w:afterLines="0"/>
        <w:ind w:firstLine="0" w:firstLineChars="0"/>
      </w:pPr>
      <w:r>
        <w:drawing>
          <wp:inline distT="0" distB="0" distL="0" distR="0">
            <wp:extent cx="2562225" cy="1751965"/>
            <wp:effectExtent l="0" t="0" r="0" b="635"/>
            <wp:docPr id="13" name="图片 13" descr="https://timgsa.baidu.com/timg?image&amp;quality=80&amp;size=b9999_10000&amp;sec=1544005559652&amp;di=b5807ec083e9e2b30d5680545237ac99&amp;imgtype=0&amp;src=http%3A%2F%2Fdocs.ebdoor.com%2FImage%2FProductImage%2F0%2F3526%2F352650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timgsa.baidu.com/timg?image&amp;quality=80&amp;size=b9999_10000&amp;sec=1544005559652&amp;di=b5807ec083e9e2b30d5680545237ac99&amp;imgtype=0&amp;src=http%3A%2F%2Fdocs.ebdoor.com%2FImage%2FProductImage%2F0%2F3526%2F35265078_1.jpg"/>
                    <pic:cNvPicPr>
                      <a:picLocks noChangeAspect="1" noChangeArrowheads="1"/>
                    </pic:cNvPicPr>
                  </pic:nvPicPr>
                  <pic:blipFill>
                    <a:blip r:embed="rId59">
                      <a:extLst>
                        <a:ext uri="{28A0092B-C50C-407E-A947-70E740481C1C}">
                          <a14:useLocalDpi xmlns:a14="http://schemas.microsoft.com/office/drawing/2010/main" val="0"/>
                        </a:ext>
                      </a:extLst>
                    </a:blip>
                    <a:srcRect r="5778" b="10217"/>
                    <a:stretch>
                      <a:fillRect/>
                    </a:stretch>
                  </pic:blipFill>
                  <pic:spPr>
                    <a:xfrm>
                      <a:off x="0" y="0"/>
                      <a:ext cx="2562225" cy="1752465"/>
                    </a:xfrm>
                    <a:prstGeom prst="rect">
                      <a:avLst/>
                    </a:prstGeom>
                    <a:noFill/>
                    <a:ln>
                      <a:noFill/>
                    </a:ln>
                  </pic:spPr>
                </pic:pic>
              </a:graphicData>
            </a:graphic>
          </wp:inline>
        </w:drawing>
      </w:r>
      <w:r>
        <w:t xml:space="preserve"> </w:t>
      </w:r>
      <w:r>
        <w:drawing>
          <wp:inline distT="0" distB="0" distL="0" distR="0">
            <wp:extent cx="2457450" cy="1746885"/>
            <wp:effectExtent l="0" t="0" r="0" b="5715"/>
            <wp:docPr id="18" name="图片 18" descr="https://timgsa.baidu.com/timg?image&amp;quality=80&amp;size=b9999_10000&amp;sec=1544005628652&amp;di=652df38489892c6c5c2f287e614c3136&amp;imgtype=0&amp;src=http%3A%2F%2Fwww.luzhonggonglu.cn%2F016%2Fuploads%2Fallimg%2F170222%2F1-1F222151R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timgsa.baidu.com/timg?image&amp;quality=80&amp;size=b9999_10000&amp;sec=1544005628652&amp;di=652df38489892c6c5c2f287e614c3136&amp;imgtype=0&amp;src=http%3A%2F%2Fwww.luzhonggonglu.cn%2F016%2Fuploads%2Fallimg%2F170222%2F1-1F222151R1262.jpg"/>
                    <pic:cNvPicPr>
                      <a:picLocks noChangeAspect="1" noChangeArrowheads="1"/>
                    </pic:cNvPicPr>
                  </pic:nvPicPr>
                  <pic:blipFill>
                    <a:blip r:embed="rId60" cstate="print">
                      <a:extLst>
                        <a:ext uri="{28A0092B-C50C-407E-A947-70E740481C1C}">
                          <a14:useLocalDpi xmlns:a14="http://schemas.microsoft.com/office/drawing/2010/main" val="0"/>
                        </a:ext>
                      </a:extLst>
                    </a:blip>
                    <a:srcRect l="4013" r="16859"/>
                    <a:stretch>
                      <a:fillRect/>
                    </a:stretch>
                  </pic:blipFill>
                  <pic:spPr>
                    <a:xfrm>
                      <a:off x="0" y="0"/>
                      <a:ext cx="2468814" cy="1754963"/>
                    </a:xfrm>
                    <a:prstGeom prst="rect">
                      <a:avLst/>
                    </a:prstGeom>
                    <a:noFill/>
                    <a:ln>
                      <a:noFill/>
                    </a:ln>
                  </pic:spPr>
                </pic:pic>
              </a:graphicData>
            </a:graphic>
          </wp:inline>
        </w:drawing>
      </w:r>
    </w:p>
    <w:p>
      <w:pPr>
        <w:pStyle w:val="19"/>
        <w:spacing w:afterLines="0"/>
        <w:ind w:firstLine="0" w:firstLineChars="0"/>
        <w:jc w:val="center"/>
      </w:pPr>
      <w:r>
        <w:rPr>
          <w:rFonts w:hint="eastAsia"/>
        </w:rPr>
        <w:t>图6.2.6-1 全封闭运输车及篷布覆盖运输车</w:t>
      </w:r>
    </w:p>
    <w:p>
      <w:pPr>
        <w:pStyle w:val="19"/>
        <w:numPr>
          <w:ilvl w:val="0"/>
          <w:numId w:val="27"/>
        </w:numPr>
        <w:spacing w:afterLines="0"/>
        <w:ind w:left="0" w:firstLine="0" w:firstLineChars="0"/>
      </w:pPr>
      <w:r>
        <w:rPr>
          <w:rFonts w:hint="eastAsia"/>
        </w:rPr>
        <w:t>运输车辆进出场站前，应先经过洗车池冲洗干净后方可离开，避免轮胎夹带泥土污染路面。</w:t>
      </w:r>
    </w:p>
    <w:p>
      <w:pPr>
        <w:pStyle w:val="19"/>
        <w:spacing w:afterLines="0"/>
        <w:ind w:firstLine="0" w:firstLineChars="0"/>
        <w:jc w:val="center"/>
      </w:pPr>
      <w:r>
        <w:drawing>
          <wp:inline distT="0" distB="0" distL="0" distR="0">
            <wp:extent cx="2857500" cy="2133600"/>
            <wp:effectExtent l="0" t="0" r="0" b="0"/>
            <wp:docPr id="23" name="图片 23" descr="https://timgsa.baidu.com/timg?image&amp;quality=80&amp;size=b9999_10000&amp;sec=1544005926819&amp;di=744211e2e623e2c9fd795bd371c46a8e&amp;imgtype=0&amp;src=http%3A%2F%2Fimg1.cache.netease.com%2Fcatchpic%2F5%2F5C%2F5C8EDE77B0368713A8A5BBF32CC8D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timgsa.baidu.com/timg?image&amp;quality=80&amp;size=b9999_10000&amp;sec=1544005926819&amp;di=744211e2e623e2c9fd795bd371c46a8e&amp;imgtype=0&amp;src=http%3A%2F%2Fimg1.cache.netease.com%2Fcatchpic%2F5%2F5C%2F5C8EDE77B0368713A8A5BBF32CC8D2F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857500" cy="2133600"/>
                    </a:xfrm>
                    <a:prstGeom prst="rect">
                      <a:avLst/>
                    </a:prstGeom>
                    <a:noFill/>
                    <a:ln>
                      <a:noFill/>
                    </a:ln>
                  </pic:spPr>
                </pic:pic>
              </a:graphicData>
            </a:graphic>
          </wp:inline>
        </w:drawing>
      </w:r>
    </w:p>
    <w:p>
      <w:pPr>
        <w:pStyle w:val="19"/>
        <w:spacing w:afterLines="0"/>
        <w:ind w:firstLine="0" w:firstLineChars="0"/>
        <w:jc w:val="center"/>
      </w:pPr>
      <w:r>
        <w:rPr>
          <w:rFonts w:hint="eastAsia"/>
        </w:rPr>
        <w:t>图6.2.7-1 运输车冲洗实例</w:t>
      </w:r>
    </w:p>
    <w:p>
      <w:pPr>
        <w:pStyle w:val="3"/>
        <w:numPr>
          <w:ilvl w:val="0"/>
          <w:numId w:val="25"/>
        </w:numPr>
        <w:spacing w:after="312" w:line="415" w:lineRule="auto"/>
        <w:jc w:val="center"/>
      </w:pPr>
      <w:bookmarkStart w:id="26" w:name="_Toc5809713"/>
      <w:r>
        <w:rPr>
          <w:rFonts w:hint="eastAsia"/>
        </w:rPr>
        <w:t>取、弃土</w:t>
      </w:r>
      <w:bookmarkEnd w:id="26"/>
    </w:p>
    <w:p>
      <w:pPr>
        <w:pStyle w:val="19"/>
        <w:numPr>
          <w:ilvl w:val="0"/>
          <w:numId w:val="28"/>
        </w:numPr>
        <w:spacing w:afterLines="0"/>
        <w:ind w:left="0" w:firstLine="0" w:firstLineChars="0"/>
      </w:pPr>
      <w:r>
        <w:rPr>
          <w:rFonts w:hint="eastAsia"/>
        </w:rPr>
        <w:t>取、弃土场要求：</w:t>
      </w:r>
    </w:p>
    <w:p>
      <w:pPr>
        <w:pStyle w:val="19"/>
        <w:numPr>
          <w:ilvl w:val="0"/>
          <w:numId w:val="29"/>
        </w:numPr>
        <w:spacing w:afterLines="0"/>
        <w:ind w:left="0" w:firstLine="480"/>
      </w:pPr>
      <w:r>
        <w:rPr>
          <w:rFonts w:hint="eastAsia"/>
        </w:rPr>
        <w:t>选址前，应综合考虑取（弃）土对各类生态保护区、农田规划、城镇规划产生的影响，避免占用耕地（永久基本农田），并结合项目地形合理规划设计。</w:t>
      </w:r>
    </w:p>
    <w:p>
      <w:pPr>
        <w:pStyle w:val="19"/>
        <w:numPr>
          <w:ilvl w:val="0"/>
          <w:numId w:val="29"/>
        </w:numPr>
        <w:spacing w:afterLines="0"/>
        <w:ind w:left="0" w:firstLine="480"/>
      </w:pPr>
      <w:r>
        <w:rPr>
          <w:rFonts w:hint="eastAsia"/>
        </w:rPr>
        <w:t>取土场应集中设置，避免连续多点、大范围取土而破坏地表植被，严禁在崩塌滑坡危险区和泥石流易发区取土。取土场的开挖面应充分考虑与自然景观统一和协调，以避免产生色差，破坏山体轮廓，造成视觉污染。</w:t>
      </w:r>
    </w:p>
    <w:p>
      <w:pPr>
        <w:pStyle w:val="19"/>
        <w:numPr>
          <w:ilvl w:val="0"/>
          <w:numId w:val="29"/>
        </w:numPr>
        <w:spacing w:afterLines="0"/>
        <w:ind w:left="0" w:firstLine="480"/>
      </w:pPr>
      <w:r>
        <w:rPr>
          <w:rFonts w:hint="eastAsia"/>
        </w:rPr>
        <w:t>弃土场应充分考虑地形、水文、周边环境情况，避免形成滑坡等次生灾害。禁止向洞口、水体、山涧随意、无序倾倒，也不得侵占耕地、渠道、河道、道路等区域。需要设置临时弃土场地的，应充分利用红线内土地。</w:t>
      </w:r>
    </w:p>
    <w:p>
      <w:pPr>
        <w:spacing w:afterLines="0"/>
        <w:jc w:val="center"/>
      </w:pPr>
      <w:r>
        <w:drawing>
          <wp:inline distT="0" distB="0" distL="0" distR="0">
            <wp:extent cx="3161030" cy="2219325"/>
            <wp:effectExtent l="0" t="0" r="1270" b="0"/>
            <wp:docPr id="14357" name="图片 14357" descr="https://ss1.bdstatic.com/70cFvXSh_Q1YnxGkpoWK1HF6hhy/it/u=17574675,1093360912&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 name="图片 14357" descr="https://ss1.bdstatic.com/70cFvXSh_Q1YnxGkpoWK1HF6hhy/it/u=17574675,1093360912&amp;fm=26&amp;gp=0.jpg"/>
                    <pic:cNvPicPr>
                      <a:picLocks noChangeAspect="1" noChangeArrowheads="1"/>
                    </pic:cNvPicPr>
                  </pic:nvPicPr>
                  <pic:blipFill>
                    <a:blip r:embed="rId62">
                      <a:extLst>
                        <a:ext uri="{28A0092B-C50C-407E-A947-70E740481C1C}">
                          <a14:useLocalDpi xmlns:a14="http://schemas.microsoft.com/office/drawing/2010/main" val="0"/>
                        </a:ext>
                      </a:extLst>
                    </a:blip>
                    <a:srcRect b="6400"/>
                    <a:stretch>
                      <a:fillRect/>
                    </a:stretch>
                  </pic:blipFill>
                  <pic:spPr>
                    <a:xfrm>
                      <a:off x="0" y="0"/>
                      <a:ext cx="3164801" cy="2221690"/>
                    </a:xfrm>
                    <a:prstGeom prst="rect">
                      <a:avLst/>
                    </a:prstGeom>
                    <a:noFill/>
                    <a:ln>
                      <a:noFill/>
                    </a:ln>
                  </pic:spPr>
                </pic:pic>
              </a:graphicData>
            </a:graphic>
          </wp:inline>
        </w:drawing>
      </w:r>
    </w:p>
    <w:p>
      <w:pPr>
        <w:spacing w:afterLines="0"/>
        <w:jc w:val="center"/>
      </w:pPr>
      <w:r>
        <w:rPr>
          <w:rFonts w:hint="eastAsia"/>
        </w:rPr>
        <w:t>图6.3.1-1借方造田实例</w:t>
      </w:r>
    </w:p>
    <w:p>
      <w:pPr>
        <w:pStyle w:val="19"/>
        <w:numPr>
          <w:ilvl w:val="0"/>
          <w:numId w:val="28"/>
        </w:numPr>
        <w:spacing w:afterLines="0"/>
        <w:ind w:left="0" w:firstLine="0" w:firstLineChars="0"/>
      </w:pPr>
      <w:r>
        <w:rPr>
          <w:rFonts w:hint="eastAsia"/>
        </w:rPr>
        <w:t>防护和复绿要求：</w:t>
      </w:r>
    </w:p>
    <w:p>
      <w:pPr>
        <w:pStyle w:val="19"/>
        <w:numPr>
          <w:ilvl w:val="0"/>
          <w:numId w:val="30"/>
        </w:numPr>
        <w:spacing w:afterLines="0"/>
        <w:ind w:left="0" w:firstLine="480"/>
      </w:pPr>
      <w:r>
        <w:rPr>
          <w:rFonts w:hint="eastAsia"/>
        </w:rPr>
        <w:t>取土前，应优先考虑顶部开挖，形成整个平面，有利于覆土种植，综合利用。取土场原地面属于耕地种植土的，应先挖出堆置一边备用，工程完工后恢复植被。</w:t>
      </w:r>
    </w:p>
    <w:p>
      <w:pPr>
        <w:pStyle w:val="19"/>
        <w:numPr>
          <w:ilvl w:val="0"/>
          <w:numId w:val="30"/>
        </w:numPr>
        <w:spacing w:afterLines="0"/>
        <w:ind w:left="0" w:firstLine="480"/>
      </w:pPr>
      <w:r>
        <w:rPr>
          <w:rFonts w:hint="eastAsia"/>
        </w:rPr>
        <w:t>弃土场应遵循“先挡后弃、分级挡护”的原则，严格按照设计要求进行防护，同时做好压实、排水等措施，保持弃土堆放的坡体稳定。</w:t>
      </w:r>
    </w:p>
    <w:p>
      <w:pPr>
        <w:pStyle w:val="19"/>
        <w:numPr>
          <w:ilvl w:val="0"/>
          <w:numId w:val="30"/>
        </w:numPr>
        <w:spacing w:afterLines="0"/>
        <w:ind w:left="0" w:firstLine="480"/>
      </w:pPr>
      <w:r>
        <w:rPr>
          <w:rFonts w:hint="eastAsia"/>
        </w:rPr>
        <w:t>取、弃土完成后，应及时平整、覆土、绿化。覆土、绿化应充分利用清表土壤和植被，土壤改良和覆土厚度应符合《园林绿化工程施工及验收规范》CJJ82相关要求。绿化防护应结合土壤、边坡坡率等选择撒草籽、种植灌木、客土喷播防护等类型，确保复绿效果。绿化宜选择当地草种或树种。</w:t>
      </w:r>
    </w:p>
    <w:p>
      <w:pPr>
        <w:pStyle w:val="19"/>
        <w:spacing w:afterLines="0"/>
        <w:ind w:firstLine="0" w:firstLineChars="0"/>
      </w:pPr>
      <w:r>
        <w:drawing>
          <wp:inline distT="0" distB="0" distL="0" distR="0">
            <wp:extent cx="5274310" cy="3486150"/>
            <wp:effectExtent l="0" t="0" r="2540" b="0"/>
            <wp:docPr id="14363" name="图片 14363" descr="https://timgsa.baidu.com/timg?image&amp;quality=80&amp;size=b9999_10000&amp;sec=1544093109712&amp;di=4de0331da7afabef582c46f1b4ea9ac5&amp;imgtype=0&amp;src=http%3A%2F%2Ff.zhulong.com%2Fv1%2Ftfs%2FT1njLTByLT1RCvBV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图片 14363" descr="https://timgsa.baidu.com/timg?image&amp;quality=80&amp;size=b9999_10000&amp;sec=1544093109712&amp;di=4de0331da7afabef582c46f1b4ea9ac5&amp;imgtype=0&amp;src=http%3A%2F%2Ff.zhulong.com%2Fv1%2Ftfs%2FT1njLTByLT1RCvBVd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3486150"/>
                    </a:xfrm>
                    <a:prstGeom prst="rect">
                      <a:avLst/>
                    </a:prstGeom>
                    <a:noFill/>
                    <a:ln>
                      <a:noFill/>
                    </a:ln>
                  </pic:spPr>
                </pic:pic>
              </a:graphicData>
            </a:graphic>
          </wp:inline>
        </w:drawing>
      </w:r>
    </w:p>
    <w:p>
      <w:pPr>
        <w:pStyle w:val="19"/>
        <w:spacing w:afterLines="0"/>
        <w:ind w:firstLine="0" w:firstLineChars="0"/>
        <w:jc w:val="center"/>
      </w:pPr>
      <w:r>
        <w:rPr>
          <w:rFonts w:hint="eastAsia"/>
        </w:rPr>
        <w:t>图6.3.2-1 弃土场绿化恢复设计示意图</w:t>
      </w:r>
    </w:p>
    <w:p>
      <w:pPr>
        <w:pStyle w:val="19"/>
        <w:numPr>
          <w:ilvl w:val="0"/>
          <w:numId w:val="28"/>
        </w:numPr>
        <w:spacing w:afterLines="0"/>
        <w:ind w:left="0" w:firstLine="0" w:firstLineChars="0"/>
      </w:pPr>
      <w:r>
        <w:rPr>
          <w:rFonts w:hint="eastAsia"/>
        </w:rPr>
        <w:t>泥浆处治要求：</w:t>
      </w:r>
    </w:p>
    <w:p>
      <w:pPr>
        <w:pStyle w:val="19"/>
        <w:numPr>
          <w:ilvl w:val="0"/>
          <w:numId w:val="31"/>
        </w:numPr>
        <w:spacing w:afterLines="0"/>
        <w:ind w:left="0" w:firstLine="480"/>
      </w:pPr>
      <w:r>
        <w:rPr>
          <w:rFonts w:hint="eastAsia"/>
        </w:rPr>
        <w:t>施工时，应选择合理工艺和安排工序，泥浆应循环利用以减少泥浆用量。施工结束后，废弃泥浆应及时回收、集中处置，严禁泥浆泄露或直接排放水域。附近有泥浆处治工厂的，也可外运委托处治，外运时应采用专用的泥浆运输车。水域钻孔施工应配备专用的泥浆船或泥浆运输甭管，采用水上平台施工时，可在平台上设置泥浆钢箱（桶）存放泥浆，或利用未施工桩基的钢护筒作泥浆储备周转，并采取有效措施防止泥浆外溢。当在砂砾地质施工时，应采取有效措施防止泥浆漏失。</w:t>
      </w:r>
    </w:p>
    <w:p>
      <w:pPr>
        <w:pStyle w:val="19"/>
        <w:spacing w:afterLines="0"/>
        <w:ind w:firstLine="0" w:firstLineChars="0"/>
        <w:jc w:val="center"/>
      </w:pPr>
      <w:r>
        <w:drawing>
          <wp:inline distT="0" distB="0" distL="0" distR="0">
            <wp:extent cx="2419350" cy="1814195"/>
            <wp:effectExtent l="0" t="0" r="0" b="0"/>
            <wp:docPr id="14362" name="图片 14362" descr="https://timgsa.baidu.com/timg?image&amp;quality=80&amp;size=b9999_10000&amp;sec=1544090929453&amp;di=a4652de5d7942d460c9431aaa260b591&amp;imgtype=0&amp;src=http%3A%2F%2Fimg007.hc360.cn%2Fk3%2FM09%2FFF%2F1C%2FwKhQv1jwc4WENUVfAAAAAAWSNd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图片 14362" descr="https://timgsa.baidu.com/timg?image&amp;quality=80&amp;size=b9999_10000&amp;sec=1544090929453&amp;di=a4652de5d7942d460c9431aaa260b591&amp;imgtype=0&amp;src=http%3A%2F%2Fimg007.hc360.cn%2Fk3%2FM09%2FFF%2F1C%2FwKhQv1jwc4WENUVfAAAAAAWSNd86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446115" cy="1834734"/>
                    </a:xfrm>
                    <a:prstGeom prst="rect">
                      <a:avLst/>
                    </a:prstGeom>
                    <a:noFill/>
                    <a:ln>
                      <a:noFill/>
                    </a:ln>
                  </pic:spPr>
                </pic:pic>
              </a:graphicData>
            </a:graphic>
          </wp:inline>
        </w:drawing>
      </w:r>
      <w:r>
        <w:rPr>
          <w:rFonts w:hint="eastAsia"/>
        </w:rPr>
        <w:t xml:space="preserve"> </w:t>
      </w:r>
      <w:r>
        <w:t xml:space="preserve"> </w:t>
      </w:r>
      <w:r>
        <w:drawing>
          <wp:inline distT="0" distB="0" distL="0" distR="0">
            <wp:extent cx="2546985" cy="1807210"/>
            <wp:effectExtent l="0" t="0" r="5715" b="2540"/>
            <wp:docPr id="14361" name="图片 14361" descr="https://wkretype.bdimg.com/retype/zoom/8dff165c336c1eb91a375dae?pn=95&amp;o=jpg_6&amp;md5sum=24c4aa7acdfffb8485698bb37652f62d&amp;sign=c7b0983519&amp;png=12157074-12353863&amp;jpg=16992505-172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图片 14361" descr="https://wkretype.bdimg.com/retype/zoom/8dff165c336c1eb91a375dae?pn=95&amp;o=jpg_6&amp;md5sum=24c4aa7acdfffb8485698bb37652f62d&amp;sign=c7b0983519&amp;png=12157074-12353863&amp;jpg=16992505-17201493"/>
                    <pic:cNvPicPr>
                      <a:picLocks noChangeAspect="1" noChangeArrowheads="1"/>
                    </pic:cNvPicPr>
                  </pic:nvPicPr>
                  <pic:blipFill>
                    <a:blip r:embed="rId65">
                      <a:extLst>
                        <a:ext uri="{28A0092B-C50C-407E-A947-70E740481C1C}">
                          <a14:useLocalDpi xmlns:a14="http://schemas.microsoft.com/office/drawing/2010/main" val="0"/>
                        </a:ext>
                      </a:extLst>
                    </a:blip>
                    <a:srcRect l="50599" t="47435" r="4906" b="10467"/>
                    <a:stretch>
                      <a:fillRect/>
                    </a:stretch>
                  </pic:blipFill>
                  <pic:spPr>
                    <a:xfrm>
                      <a:off x="0" y="0"/>
                      <a:ext cx="2559384" cy="1816295"/>
                    </a:xfrm>
                    <a:prstGeom prst="rect">
                      <a:avLst/>
                    </a:prstGeom>
                    <a:noFill/>
                    <a:ln>
                      <a:noFill/>
                    </a:ln>
                  </pic:spPr>
                </pic:pic>
              </a:graphicData>
            </a:graphic>
          </wp:inline>
        </w:drawing>
      </w:r>
    </w:p>
    <w:p>
      <w:pPr>
        <w:spacing w:afterLines="0"/>
        <w:jc w:val="center"/>
      </w:pPr>
      <w:r>
        <w:rPr>
          <w:rFonts w:hint="eastAsia"/>
        </w:rPr>
        <w:t>图6.3.3-1 泥浆运输车和泥浆船实例</w:t>
      </w:r>
    </w:p>
    <w:p>
      <w:pPr>
        <w:pStyle w:val="19"/>
        <w:numPr>
          <w:ilvl w:val="0"/>
          <w:numId w:val="31"/>
        </w:numPr>
        <w:spacing w:afterLines="0"/>
        <w:ind w:left="0" w:firstLine="480"/>
      </w:pPr>
      <w:r>
        <w:rPr>
          <w:rFonts w:hint="eastAsia"/>
        </w:rPr>
        <w:t>常见的泥浆处治方法有自然沉淀法、絮凝沉淀法、机械分离法和固化处理法等，施工时应结合现场条件、浆液排放量、经济性等情况进行合理选择。</w:t>
      </w:r>
    </w:p>
    <w:p>
      <w:pPr>
        <w:pStyle w:val="19"/>
        <w:spacing w:afterLines="0"/>
        <w:ind w:firstLine="0" w:firstLineChars="0"/>
        <w:jc w:val="center"/>
      </w:pPr>
      <w:r>
        <w:rPr>
          <w:rFonts w:hint="eastAsia"/>
        </w:rPr>
        <w:t>表6.3.3-1泥浆处理方法比选</w:t>
      </w:r>
    </w:p>
    <w:tbl>
      <w:tblPr>
        <w:tblStyle w:val="15"/>
        <w:tblW w:w="87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2"/>
        <w:gridCol w:w="1504"/>
        <w:gridCol w:w="2447"/>
        <w:gridCol w:w="214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vAlign w:val="center"/>
          </w:tcPr>
          <w:p>
            <w:pPr>
              <w:pStyle w:val="19"/>
              <w:spacing w:afterLines="0"/>
              <w:ind w:firstLine="0" w:firstLineChars="0"/>
              <w:jc w:val="center"/>
              <w:rPr>
                <w:sz w:val="21"/>
              </w:rPr>
            </w:pPr>
            <w:r>
              <w:rPr>
                <w:rFonts w:hint="eastAsia"/>
                <w:sz w:val="21"/>
              </w:rPr>
              <w:t>序号</w:t>
            </w:r>
          </w:p>
        </w:tc>
        <w:tc>
          <w:tcPr>
            <w:tcW w:w="992" w:type="dxa"/>
            <w:vAlign w:val="center"/>
          </w:tcPr>
          <w:p>
            <w:pPr>
              <w:pStyle w:val="19"/>
              <w:spacing w:afterLines="0"/>
              <w:ind w:firstLine="0" w:firstLineChars="0"/>
              <w:jc w:val="center"/>
              <w:rPr>
                <w:sz w:val="21"/>
              </w:rPr>
            </w:pPr>
            <w:r>
              <w:rPr>
                <w:rFonts w:hint="eastAsia"/>
                <w:sz w:val="21"/>
              </w:rPr>
              <w:t>处置</w:t>
            </w:r>
          </w:p>
          <w:p>
            <w:pPr>
              <w:pStyle w:val="19"/>
              <w:spacing w:afterLines="0"/>
              <w:ind w:firstLine="0" w:firstLineChars="0"/>
              <w:jc w:val="center"/>
              <w:rPr>
                <w:sz w:val="21"/>
              </w:rPr>
            </w:pPr>
            <w:r>
              <w:rPr>
                <w:rFonts w:hint="eastAsia"/>
                <w:sz w:val="21"/>
              </w:rPr>
              <w:t>方法</w:t>
            </w:r>
          </w:p>
        </w:tc>
        <w:tc>
          <w:tcPr>
            <w:tcW w:w="1504" w:type="dxa"/>
            <w:vAlign w:val="center"/>
          </w:tcPr>
          <w:p>
            <w:pPr>
              <w:pStyle w:val="19"/>
              <w:spacing w:afterLines="0"/>
              <w:ind w:firstLine="0" w:firstLineChars="0"/>
              <w:jc w:val="center"/>
              <w:rPr>
                <w:sz w:val="21"/>
              </w:rPr>
            </w:pPr>
            <w:r>
              <w:rPr>
                <w:rFonts w:hint="eastAsia"/>
                <w:sz w:val="21"/>
              </w:rPr>
              <w:t>优点</w:t>
            </w:r>
          </w:p>
        </w:tc>
        <w:tc>
          <w:tcPr>
            <w:tcW w:w="2447" w:type="dxa"/>
            <w:vAlign w:val="center"/>
          </w:tcPr>
          <w:p>
            <w:pPr>
              <w:pStyle w:val="19"/>
              <w:spacing w:afterLines="0"/>
              <w:ind w:firstLine="0" w:firstLineChars="0"/>
              <w:jc w:val="center"/>
              <w:rPr>
                <w:sz w:val="21"/>
              </w:rPr>
            </w:pPr>
            <w:r>
              <w:rPr>
                <w:rFonts w:hint="eastAsia"/>
                <w:sz w:val="21"/>
              </w:rPr>
              <w:t>缺点</w:t>
            </w:r>
          </w:p>
        </w:tc>
        <w:tc>
          <w:tcPr>
            <w:tcW w:w="2144" w:type="dxa"/>
            <w:vAlign w:val="center"/>
          </w:tcPr>
          <w:p>
            <w:pPr>
              <w:pStyle w:val="19"/>
              <w:spacing w:afterLines="0"/>
              <w:ind w:firstLine="0" w:firstLineChars="0"/>
              <w:jc w:val="center"/>
              <w:rPr>
                <w:sz w:val="21"/>
              </w:rPr>
            </w:pPr>
            <w:r>
              <w:rPr>
                <w:rFonts w:hint="eastAsia"/>
                <w:sz w:val="21"/>
              </w:rPr>
              <w:t>适合范围</w:t>
            </w:r>
          </w:p>
        </w:tc>
        <w:tc>
          <w:tcPr>
            <w:tcW w:w="1116" w:type="dxa"/>
            <w:vAlign w:val="center"/>
          </w:tcPr>
          <w:p>
            <w:pPr>
              <w:pStyle w:val="19"/>
              <w:spacing w:afterLines="0"/>
              <w:ind w:firstLine="0" w:firstLineChars="0"/>
              <w:jc w:val="center"/>
              <w:rPr>
                <w:sz w:val="21"/>
              </w:rPr>
            </w:pPr>
            <w:r>
              <w:rPr>
                <w:rFonts w:hint="eastAsia"/>
                <w:sz w:val="21"/>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vAlign w:val="center"/>
          </w:tcPr>
          <w:p>
            <w:pPr>
              <w:pStyle w:val="19"/>
              <w:spacing w:afterLines="0"/>
              <w:ind w:firstLine="0" w:firstLineChars="0"/>
              <w:jc w:val="center"/>
              <w:rPr>
                <w:sz w:val="21"/>
              </w:rPr>
            </w:pPr>
            <w:r>
              <w:rPr>
                <w:rFonts w:hint="eastAsia"/>
                <w:sz w:val="21"/>
              </w:rPr>
              <w:t>1</w:t>
            </w:r>
          </w:p>
        </w:tc>
        <w:tc>
          <w:tcPr>
            <w:tcW w:w="992" w:type="dxa"/>
            <w:vAlign w:val="center"/>
          </w:tcPr>
          <w:p>
            <w:pPr>
              <w:pStyle w:val="19"/>
              <w:spacing w:afterLines="0"/>
              <w:ind w:firstLine="0" w:firstLineChars="0"/>
              <w:jc w:val="center"/>
              <w:rPr>
                <w:sz w:val="21"/>
              </w:rPr>
            </w:pPr>
            <w:r>
              <w:rPr>
                <w:rFonts w:hint="eastAsia"/>
                <w:sz w:val="21"/>
              </w:rPr>
              <w:t>自然沉淀法</w:t>
            </w:r>
          </w:p>
        </w:tc>
        <w:tc>
          <w:tcPr>
            <w:tcW w:w="1504" w:type="dxa"/>
            <w:vAlign w:val="center"/>
          </w:tcPr>
          <w:p>
            <w:pPr>
              <w:pStyle w:val="19"/>
              <w:spacing w:afterLines="0"/>
              <w:ind w:firstLine="0" w:firstLineChars="0"/>
              <w:jc w:val="center"/>
              <w:rPr>
                <w:sz w:val="21"/>
              </w:rPr>
            </w:pPr>
            <w:r>
              <w:rPr>
                <w:rFonts w:hint="eastAsia"/>
                <w:sz w:val="21"/>
              </w:rPr>
              <w:t>简单易行，成本低廉</w:t>
            </w:r>
          </w:p>
        </w:tc>
        <w:tc>
          <w:tcPr>
            <w:tcW w:w="2447" w:type="dxa"/>
            <w:vAlign w:val="center"/>
          </w:tcPr>
          <w:p>
            <w:pPr>
              <w:pStyle w:val="19"/>
              <w:spacing w:afterLines="0"/>
              <w:ind w:firstLine="0" w:firstLineChars="0"/>
              <w:jc w:val="center"/>
              <w:rPr>
                <w:sz w:val="21"/>
              </w:rPr>
            </w:pPr>
            <w:r>
              <w:rPr>
                <w:rFonts w:hint="eastAsia"/>
                <w:sz w:val="21"/>
              </w:rPr>
              <w:t>沉淀时间长、占地面积大、处治不当会污染环境，存在安全隐患</w:t>
            </w:r>
          </w:p>
        </w:tc>
        <w:tc>
          <w:tcPr>
            <w:tcW w:w="2144" w:type="dxa"/>
            <w:vAlign w:val="center"/>
          </w:tcPr>
          <w:p>
            <w:pPr>
              <w:pStyle w:val="19"/>
              <w:spacing w:afterLines="0"/>
              <w:ind w:firstLine="0" w:firstLineChars="0"/>
              <w:jc w:val="center"/>
              <w:rPr>
                <w:sz w:val="21"/>
              </w:rPr>
            </w:pPr>
            <w:r>
              <w:rPr>
                <w:rFonts w:hint="eastAsia"/>
                <w:sz w:val="21"/>
              </w:rPr>
              <w:t>土地资源丰富、无环境敏感</w:t>
            </w:r>
          </w:p>
        </w:tc>
        <w:tc>
          <w:tcPr>
            <w:tcW w:w="1116" w:type="dxa"/>
            <w:vAlign w:val="center"/>
          </w:tcPr>
          <w:p>
            <w:pPr>
              <w:pStyle w:val="19"/>
              <w:spacing w:afterLines="0"/>
              <w:ind w:firstLine="0" w:firstLineChars="0"/>
              <w:jc w:val="center"/>
              <w:rPr>
                <w:sz w:val="21"/>
              </w:rPr>
            </w:pPr>
            <w:r>
              <w:rPr>
                <w:rFonts w:hint="eastAsia"/>
                <w:sz w:val="21"/>
              </w:rPr>
              <w:t>条件允许时可采用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vAlign w:val="center"/>
          </w:tcPr>
          <w:p>
            <w:pPr>
              <w:pStyle w:val="19"/>
              <w:spacing w:afterLines="0"/>
              <w:ind w:firstLine="0" w:firstLineChars="0"/>
              <w:jc w:val="center"/>
              <w:rPr>
                <w:sz w:val="21"/>
              </w:rPr>
            </w:pPr>
            <w:r>
              <w:rPr>
                <w:rFonts w:hint="eastAsia"/>
                <w:sz w:val="21"/>
              </w:rPr>
              <w:t>2</w:t>
            </w:r>
          </w:p>
        </w:tc>
        <w:tc>
          <w:tcPr>
            <w:tcW w:w="992" w:type="dxa"/>
            <w:vAlign w:val="center"/>
          </w:tcPr>
          <w:p>
            <w:pPr>
              <w:pStyle w:val="19"/>
              <w:spacing w:afterLines="0"/>
              <w:ind w:firstLine="0" w:firstLineChars="0"/>
              <w:jc w:val="center"/>
              <w:rPr>
                <w:sz w:val="21"/>
              </w:rPr>
            </w:pPr>
            <w:r>
              <w:rPr>
                <w:rFonts w:hint="eastAsia"/>
                <w:sz w:val="21"/>
              </w:rPr>
              <w:t>絮凝沉淀法</w:t>
            </w:r>
          </w:p>
        </w:tc>
        <w:tc>
          <w:tcPr>
            <w:tcW w:w="1504" w:type="dxa"/>
            <w:vAlign w:val="center"/>
          </w:tcPr>
          <w:p>
            <w:pPr>
              <w:pStyle w:val="19"/>
              <w:spacing w:afterLines="0"/>
              <w:ind w:firstLine="0" w:firstLineChars="0"/>
              <w:jc w:val="center"/>
              <w:rPr>
                <w:sz w:val="21"/>
              </w:rPr>
            </w:pPr>
            <w:r>
              <w:rPr>
                <w:rFonts w:hint="eastAsia"/>
                <w:sz w:val="21"/>
              </w:rPr>
              <w:t>处理周期短，占地面积小</w:t>
            </w:r>
          </w:p>
        </w:tc>
        <w:tc>
          <w:tcPr>
            <w:tcW w:w="2447" w:type="dxa"/>
            <w:vAlign w:val="center"/>
          </w:tcPr>
          <w:p>
            <w:pPr>
              <w:pStyle w:val="19"/>
              <w:spacing w:afterLines="0"/>
              <w:ind w:firstLine="0" w:firstLineChars="0"/>
              <w:jc w:val="center"/>
              <w:rPr>
                <w:sz w:val="21"/>
              </w:rPr>
            </w:pPr>
            <w:r>
              <w:rPr>
                <w:rFonts w:hint="eastAsia"/>
                <w:sz w:val="21"/>
              </w:rPr>
              <w:t>操作复杂、成本较高、需选用无毒或低毒絮凝剂</w:t>
            </w:r>
          </w:p>
        </w:tc>
        <w:tc>
          <w:tcPr>
            <w:tcW w:w="2144" w:type="dxa"/>
            <w:vAlign w:val="center"/>
          </w:tcPr>
          <w:p>
            <w:pPr>
              <w:pStyle w:val="19"/>
              <w:spacing w:afterLines="0"/>
              <w:ind w:firstLine="0" w:firstLineChars="0"/>
              <w:jc w:val="center"/>
              <w:rPr>
                <w:sz w:val="21"/>
              </w:rPr>
            </w:pPr>
            <w:r>
              <w:rPr>
                <w:rFonts w:hint="eastAsia"/>
                <w:sz w:val="21"/>
              </w:rPr>
              <w:t>土地资源紧缺、水（海）上或环境敏感区</w:t>
            </w:r>
          </w:p>
        </w:tc>
        <w:tc>
          <w:tcPr>
            <w:tcW w:w="1116" w:type="dxa"/>
            <w:vAlign w:val="center"/>
          </w:tcPr>
          <w:p>
            <w:pPr>
              <w:pStyle w:val="19"/>
              <w:spacing w:afterLines="0"/>
              <w:ind w:firstLine="0" w:firstLineChars="0"/>
              <w:jc w:val="center"/>
              <w:rPr>
                <w:sz w:val="21"/>
              </w:rPr>
            </w:pPr>
            <w:r>
              <w:rPr>
                <w:rFonts w:hint="eastAsia"/>
                <w:sz w:val="21"/>
              </w:rPr>
              <w:t>废浆量较少或特殊情况时可选择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vAlign w:val="center"/>
          </w:tcPr>
          <w:p>
            <w:pPr>
              <w:pStyle w:val="19"/>
              <w:spacing w:afterLines="0"/>
              <w:ind w:firstLine="0" w:firstLineChars="0"/>
              <w:jc w:val="center"/>
              <w:rPr>
                <w:sz w:val="21"/>
              </w:rPr>
            </w:pPr>
            <w:r>
              <w:rPr>
                <w:rFonts w:hint="eastAsia"/>
                <w:sz w:val="21"/>
              </w:rPr>
              <w:t>3</w:t>
            </w:r>
          </w:p>
        </w:tc>
        <w:tc>
          <w:tcPr>
            <w:tcW w:w="992" w:type="dxa"/>
            <w:vAlign w:val="center"/>
          </w:tcPr>
          <w:p>
            <w:pPr>
              <w:pStyle w:val="19"/>
              <w:spacing w:afterLines="0"/>
              <w:ind w:firstLine="0" w:firstLineChars="0"/>
              <w:jc w:val="center"/>
              <w:rPr>
                <w:sz w:val="21"/>
              </w:rPr>
            </w:pPr>
            <w:r>
              <w:rPr>
                <w:rFonts w:hint="eastAsia"/>
                <w:sz w:val="21"/>
              </w:rPr>
              <w:t>机械分离法</w:t>
            </w:r>
          </w:p>
        </w:tc>
        <w:tc>
          <w:tcPr>
            <w:tcW w:w="1504" w:type="dxa"/>
            <w:vAlign w:val="center"/>
          </w:tcPr>
          <w:p>
            <w:pPr>
              <w:pStyle w:val="19"/>
              <w:spacing w:afterLines="0"/>
              <w:ind w:firstLine="0" w:firstLineChars="0"/>
              <w:jc w:val="center"/>
              <w:rPr>
                <w:sz w:val="21"/>
              </w:rPr>
            </w:pPr>
            <w:r>
              <w:rPr>
                <w:rFonts w:hint="eastAsia"/>
                <w:sz w:val="21"/>
              </w:rPr>
              <w:t>处理周期短、功效快、基本无占地、渣土易处理</w:t>
            </w:r>
          </w:p>
        </w:tc>
        <w:tc>
          <w:tcPr>
            <w:tcW w:w="2447" w:type="dxa"/>
            <w:vAlign w:val="center"/>
          </w:tcPr>
          <w:p>
            <w:pPr>
              <w:pStyle w:val="19"/>
              <w:spacing w:afterLines="0"/>
              <w:ind w:firstLine="0" w:firstLineChars="0"/>
              <w:jc w:val="center"/>
              <w:rPr>
                <w:sz w:val="21"/>
              </w:rPr>
            </w:pPr>
            <w:r>
              <w:rPr>
                <w:rFonts w:hint="eastAsia"/>
                <w:sz w:val="21"/>
              </w:rPr>
              <w:t>操作简单、成本较高</w:t>
            </w:r>
          </w:p>
        </w:tc>
        <w:tc>
          <w:tcPr>
            <w:tcW w:w="2144" w:type="dxa"/>
            <w:vAlign w:val="center"/>
          </w:tcPr>
          <w:p>
            <w:pPr>
              <w:pStyle w:val="19"/>
              <w:spacing w:afterLines="0"/>
              <w:ind w:firstLine="0" w:firstLineChars="0"/>
              <w:jc w:val="center"/>
              <w:rPr>
                <w:sz w:val="21"/>
              </w:rPr>
            </w:pPr>
            <w:r>
              <w:rPr>
                <w:rFonts w:hint="eastAsia"/>
                <w:sz w:val="21"/>
              </w:rPr>
              <w:t>土地资源紧缺、水（海）上或环境敏感区作业</w:t>
            </w:r>
          </w:p>
        </w:tc>
        <w:tc>
          <w:tcPr>
            <w:tcW w:w="1116" w:type="dxa"/>
            <w:vAlign w:val="center"/>
          </w:tcPr>
          <w:p>
            <w:pPr>
              <w:pStyle w:val="19"/>
              <w:spacing w:afterLines="0"/>
              <w:ind w:firstLine="0" w:firstLineChars="0"/>
              <w:jc w:val="center"/>
              <w:rPr>
                <w:sz w:val="21"/>
              </w:rPr>
            </w:pPr>
            <w:r>
              <w:rPr>
                <w:rFonts w:hint="eastAsia"/>
                <w:sz w:val="21"/>
              </w:rPr>
              <w:t>优先选择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4" w:type="dxa"/>
            <w:vAlign w:val="center"/>
          </w:tcPr>
          <w:p>
            <w:pPr>
              <w:pStyle w:val="19"/>
              <w:spacing w:afterLines="0"/>
              <w:ind w:firstLine="0" w:firstLineChars="0"/>
              <w:jc w:val="center"/>
              <w:rPr>
                <w:sz w:val="21"/>
              </w:rPr>
            </w:pPr>
            <w:r>
              <w:rPr>
                <w:rFonts w:hint="eastAsia"/>
                <w:sz w:val="21"/>
              </w:rPr>
              <w:t>4</w:t>
            </w:r>
          </w:p>
        </w:tc>
        <w:tc>
          <w:tcPr>
            <w:tcW w:w="992" w:type="dxa"/>
            <w:vAlign w:val="center"/>
          </w:tcPr>
          <w:p>
            <w:pPr>
              <w:pStyle w:val="19"/>
              <w:spacing w:afterLines="0"/>
              <w:ind w:firstLine="0" w:firstLineChars="0"/>
              <w:jc w:val="center"/>
              <w:rPr>
                <w:sz w:val="21"/>
              </w:rPr>
            </w:pPr>
            <w:r>
              <w:rPr>
                <w:rFonts w:hint="eastAsia"/>
                <w:sz w:val="21"/>
              </w:rPr>
              <w:t>固化处理法</w:t>
            </w:r>
          </w:p>
        </w:tc>
        <w:tc>
          <w:tcPr>
            <w:tcW w:w="1504" w:type="dxa"/>
            <w:vAlign w:val="center"/>
          </w:tcPr>
          <w:p>
            <w:pPr>
              <w:pStyle w:val="19"/>
              <w:spacing w:afterLines="0"/>
              <w:ind w:firstLine="0" w:firstLineChars="0"/>
              <w:jc w:val="center"/>
              <w:rPr>
                <w:sz w:val="21"/>
              </w:rPr>
            </w:pPr>
            <w:r>
              <w:rPr>
                <w:rFonts w:hint="eastAsia"/>
                <w:sz w:val="21"/>
              </w:rPr>
              <w:t>渣土易处理、占地面积小</w:t>
            </w:r>
          </w:p>
        </w:tc>
        <w:tc>
          <w:tcPr>
            <w:tcW w:w="2447" w:type="dxa"/>
            <w:vAlign w:val="center"/>
          </w:tcPr>
          <w:p>
            <w:pPr>
              <w:pStyle w:val="19"/>
              <w:spacing w:afterLines="0"/>
              <w:ind w:firstLine="0" w:firstLineChars="0"/>
              <w:jc w:val="center"/>
              <w:rPr>
                <w:sz w:val="21"/>
              </w:rPr>
            </w:pPr>
            <w:r>
              <w:rPr>
                <w:rFonts w:hint="eastAsia"/>
                <w:sz w:val="21"/>
              </w:rPr>
              <w:t>操作较复杂、占地面积小、成本高</w:t>
            </w:r>
          </w:p>
        </w:tc>
        <w:tc>
          <w:tcPr>
            <w:tcW w:w="2144" w:type="dxa"/>
            <w:vAlign w:val="center"/>
          </w:tcPr>
          <w:p>
            <w:pPr>
              <w:pStyle w:val="19"/>
              <w:spacing w:afterLines="0"/>
              <w:ind w:firstLine="0" w:firstLineChars="0"/>
              <w:jc w:val="center"/>
              <w:rPr>
                <w:sz w:val="21"/>
              </w:rPr>
            </w:pPr>
            <w:r>
              <w:rPr>
                <w:rFonts w:hint="eastAsia"/>
                <w:sz w:val="21"/>
              </w:rPr>
              <w:t>重金属离子含量、p</w:t>
            </w:r>
            <w:r>
              <w:rPr>
                <w:sz w:val="21"/>
              </w:rPr>
              <w:t>H</w:t>
            </w:r>
            <w:r>
              <w:rPr>
                <w:rFonts w:hint="eastAsia"/>
                <w:sz w:val="21"/>
              </w:rPr>
              <w:t>值、含油量等较高的泥浆</w:t>
            </w:r>
          </w:p>
        </w:tc>
        <w:tc>
          <w:tcPr>
            <w:tcW w:w="1116" w:type="dxa"/>
            <w:vAlign w:val="center"/>
          </w:tcPr>
          <w:p>
            <w:pPr>
              <w:pStyle w:val="19"/>
              <w:spacing w:afterLines="0"/>
              <w:ind w:firstLine="0" w:firstLineChars="0"/>
              <w:jc w:val="center"/>
              <w:rPr>
                <w:sz w:val="21"/>
              </w:rPr>
            </w:pPr>
            <w:r>
              <w:rPr>
                <w:rFonts w:hint="eastAsia"/>
                <w:sz w:val="21"/>
              </w:rPr>
              <w:t>特殊情况时选择</w:t>
            </w:r>
          </w:p>
        </w:tc>
      </w:tr>
    </w:tbl>
    <w:p>
      <w:pPr>
        <w:pStyle w:val="19"/>
        <w:spacing w:afterLines="0"/>
        <w:ind w:firstLine="0" w:firstLineChars="0"/>
        <w:jc w:val="left"/>
      </w:pPr>
      <w:r>
        <w:drawing>
          <wp:inline distT="0" distB="0" distL="0" distR="0">
            <wp:extent cx="2794000" cy="1571625"/>
            <wp:effectExtent l="0" t="0" r="6350" b="0"/>
            <wp:docPr id="14366" name="图片 14366" descr="泥浆池及围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 name="图片 14366" descr="泥浆池及围栏"/>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796538" cy="1573010"/>
                    </a:xfrm>
                    <a:prstGeom prst="rect">
                      <a:avLst/>
                    </a:prstGeom>
                    <a:noFill/>
                    <a:ln>
                      <a:noFill/>
                    </a:ln>
                  </pic:spPr>
                </pic:pic>
              </a:graphicData>
            </a:graphic>
          </wp:inline>
        </w:drawing>
      </w:r>
      <w:r>
        <w:t xml:space="preserve"> </w:t>
      </w:r>
      <w:r>
        <w:drawing>
          <wp:inline distT="0" distB="0" distL="0" distR="0">
            <wp:extent cx="2181225" cy="1526540"/>
            <wp:effectExtent l="0" t="0" r="0" b="0"/>
            <wp:docPr id="14367" name="图片 14367" descr="https://timgsa.baidu.com/timg?image&amp;quality=80&amp;size=b9999_10000&amp;sec=1544094088344&amp;di=c02ed08ff8324cb15a405b553d1746ac&amp;imgtype=0&amp;src=http%3A%2F%2Ftupian.hsoow.com%2F2018%2F0710%2F20180710dqk153123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 name="图片 14367" descr="https://timgsa.baidu.com/timg?image&amp;quality=80&amp;size=b9999_10000&amp;sec=1544094088344&amp;di=c02ed08ff8324cb15a405b553d1746ac&amp;imgtype=0&amp;src=http%3A%2F%2Ftupian.hsoow.com%2F2018%2F0710%2F20180710dqk153123188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195694" cy="1536985"/>
                    </a:xfrm>
                    <a:prstGeom prst="rect">
                      <a:avLst/>
                    </a:prstGeom>
                    <a:noFill/>
                    <a:ln>
                      <a:noFill/>
                    </a:ln>
                  </pic:spPr>
                </pic:pic>
              </a:graphicData>
            </a:graphic>
          </wp:inline>
        </w:drawing>
      </w:r>
    </w:p>
    <w:p>
      <w:pPr>
        <w:pStyle w:val="19"/>
        <w:spacing w:afterLines="0"/>
        <w:ind w:firstLine="120" w:firstLineChars="50"/>
        <w:jc w:val="center"/>
      </w:pPr>
      <w:r>
        <w:rPr>
          <w:rFonts w:hint="eastAsia"/>
        </w:rPr>
        <w:t>图6.3.3-2</w:t>
      </w:r>
      <w:r>
        <w:rPr>
          <w:rFonts w:hint="eastAsia"/>
          <w:sz w:val="21"/>
        </w:rPr>
        <w:t xml:space="preserve">自然沉淀法 </w:t>
      </w:r>
      <w:r>
        <w:rPr>
          <w:sz w:val="21"/>
        </w:rPr>
        <w:t xml:space="preserve"> </w:t>
      </w:r>
      <w:r>
        <w:rPr>
          <w:rFonts w:hint="eastAsia"/>
          <w:sz w:val="21"/>
        </w:rPr>
        <w:t xml:space="preserve">                 </w:t>
      </w:r>
      <w:r>
        <w:rPr>
          <w:rFonts w:hint="eastAsia"/>
        </w:rPr>
        <w:t>图6.3.3-3</w:t>
      </w:r>
      <w:r>
        <w:rPr>
          <w:rFonts w:hint="eastAsia"/>
          <w:sz w:val="21"/>
        </w:rPr>
        <w:t>絮凝沉淀法</w:t>
      </w:r>
    </w:p>
    <w:p>
      <w:pPr>
        <w:pStyle w:val="19"/>
        <w:spacing w:afterLines="0"/>
        <w:ind w:firstLine="0" w:firstLineChars="0"/>
      </w:pPr>
      <w:r>
        <w:drawing>
          <wp:inline distT="0" distB="0" distL="0" distR="0">
            <wp:extent cx="2926715" cy="1724025"/>
            <wp:effectExtent l="0" t="0" r="6985" b="0"/>
            <wp:docPr id="9216" name="图片 9216" descr="https://timgsa.baidu.com/timg?image&amp;quality=80&amp;size=b9999_10000&amp;sec=1544096136597&amp;di=d3462f4c6b831b2779a6294acbac8dfd&amp;imgtype=0&amp;src=http%3A%2F%2Fimg004.hc360.cn%2Fhb%2FeT2a432d230129a0BEa98071BE2846d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 name="图片 9216" descr="https://timgsa.baidu.com/timg?image&amp;quality=80&amp;size=b9999_10000&amp;sec=1544096136597&amp;di=d3462f4c6b831b2779a6294acbac8dfd&amp;imgtype=0&amp;src=http%3A%2F%2Fimg004.hc360.cn%2Fhb%2FeT2a432d230129a0BEa98071BE2846d666.jpg"/>
                    <pic:cNvPicPr>
                      <a:picLocks noChangeAspect="1" noChangeArrowheads="1"/>
                    </pic:cNvPicPr>
                  </pic:nvPicPr>
                  <pic:blipFill>
                    <a:blip r:embed="rId68">
                      <a:extLst>
                        <a:ext uri="{28A0092B-C50C-407E-A947-70E740481C1C}">
                          <a14:useLocalDpi xmlns:a14="http://schemas.microsoft.com/office/drawing/2010/main" val="0"/>
                        </a:ext>
                      </a:extLst>
                    </a:blip>
                    <a:srcRect r="2200" b="16522"/>
                    <a:stretch>
                      <a:fillRect/>
                    </a:stretch>
                  </pic:blipFill>
                  <pic:spPr>
                    <a:xfrm>
                      <a:off x="0" y="0"/>
                      <a:ext cx="2936969" cy="1729748"/>
                    </a:xfrm>
                    <a:prstGeom prst="rect">
                      <a:avLst/>
                    </a:prstGeom>
                    <a:noFill/>
                    <a:ln>
                      <a:noFill/>
                    </a:ln>
                  </pic:spPr>
                </pic:pic>
              </a:graphicData>
            </a:graphic>
          </wp:inline>
        </w:drawing>
      </w:r>
      <w:r>
        <w:t xml:space="preserve"> </w:t>
      </w:r>
      <w:r>
        <w:drawing>
          <wp:inline distT="0" distB="0" distL="0" distR="0">
            <wp:extent cx="2212975" cy="1659890"/>
            <wp:effectExtent l="0" t="0" r="0" b="0"/>
            <wp:docPr id="9217" name="图片 9217" descr="https://timgsa.baidu.com/timg?image&amp;quality=80&amp;size=b9999_10000&amp;sec=1544096459311&amp;di=46b2cf2a308d903f1fb246aa2b08d115&amp;imgtype=0&amp;src=http%3A%2F%2Fimg.co188.com%2Fivp%2Fimages%2Fproduct%2F188%2F356%2F127%2F3643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图片 9217" descr="https://timgsa.baidu.com/timg?image&amp;quality=80&amp;size=b9999_10000&amp;sec=1544096459311&amp;di=46b2cf2a308d903f1fb246aa2b08d115&amp;imgtype=0&amp;src=http%3A%2F%2Fimg.co188.com%2Fivp%2Fimages%2Fproduct%2F188%2F356%2F127%2F3643239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217830" cy="1663507"/>
                    </a:xfrm>
                    <a:prstGeom prst="rect">
                      <a:avLst/>
                    </a:prstGeom>
                    <a:noFill/>
                    <a:ln>
                      <a:noFill/>
                    </a:ln>
                  </pic:spPr>
                </pic:pic>
              </a:graphicData>
            </a:graphic>
          </wp:inline>
        </w:drawing>
      </w:r>
    </w:p>
    <w:p>
      <w:pPr>
        <w:pStyle w:val="19"/>
        <w:spacing w:afterLines="0"/>
        <w:ind w:firstLine="0" w:firstLineChars="0"/>
        <w:jc w:val="center"/>
        <w:rPr>
          <w:sz w:val="21"/>
        </w:rPr>
      </w:pPr>
      <w:r>
        <w:rPr>
          <w:rFonts w:hint="eastAsia"/>
        </w:rPr>
        <w:t>图6.3.3-4</w:t>
      </w:r>
      <w:r>
        <w:rPr>
          <w:rFonts w:hint="eastAsia"/>
          <w:sz w:val="21"/>
        </w:rPr>
        <w:t xml:space="preserve">机械分离法                  </w:t>
      </w:r>
      <w:r>
        <w:rPr>
          <w:sz w:val="21"/>
        </w:rPr>
        <w:t xml:space="preserve">  </w:t>
      </w:r>
      <w:r>
        <w:rPr>
          <w:rFonts w:hint="eastAsia"/>
        </w:rPr>
        <w:t>图6.3.3-5</w:t>
      </w:r>
      <w:r>
        <w:rPr>
          <w:rFonts w:hint="eastAsia"/>
          <w:sz w:val="21"/>
        </w:rPr>
        <w:t>固化处理法</w:t>
      </w:r>
    </w:p>
    <w:p>
      <w:pPr>
        <w:pStyle w:val="3"/>
        <w:numPr>
          <w:ilvl w:val="0"/>
          <w:numId w:val="25"/>
        </w:numPr>
        <w:spacing w:after="312" w:line="415" w:lineRule="auto"/>
        <w:jc w:val="center"/>
      </w:pPr>
      <w:r>
        <w:rPr>
          <w:rFonts w:hint="eastAsia"/>
        </w:rPr>
        <w:t xml:space="preserve"> </w:t>
      </w:r>
      <w:bookmarkStart w:id="27" w:name="_Toc5809714"/>
      <w:r>
        <w:rPr>
          <w:rFonts w:hint="eastAsia"/>
        </w:rPr>
        <w:t>资源利用</w:t>
      </w:r>
      <w:bookmarkEnd w:id="27"/>
    </w:p>
    <w:p>
      <w:pPr>
        <w:pStyle w:val="19"/>
        <w:numPr>
          <w:ilvl w:val="0"/>
          <w:numId w:val="32"/>
        </w:numPr>
        <w:spacing w:afterLines="0"/>
        <w:ind w:left="0" w:firstLine="0" w:firstLineChars="0"/>
      </w:pPr>
      <w:r>
        <w:rPr>
          <w:rFonts w:hint="eastAsia"/>
        </w:rPr>
        <w:t>加强对清表土和植被资源的调配利用。清表土和植被资源应首先用于工程自身的路基边坡、服务区、收费站、停车区、管理中心、互通区等绿化工程，以及取土场、弃土场、临时用地等复绿工程。多余的资源，可与地方政府、周边建设工程沟通用于地方造田、矿山治理、绿化等工程，使资源利用最大化。</w:t>
      </w:r>
    </w:p>
    <w:p>
      <w:pPr>
        <w:pStyle w:val="19"/>
        <w:spacing w:afterLines="0"/>
        <w:ind w:firstLine="0" w:firstLineChars="0"/>
        <w:jc w:val="center"/>
      </w:pPr>
      <w:r>
        <w:drawing>
          <wp:inline distT="0" distB="0" distL="0" distR="0">
            <wp:extent cx="2238375" cy="2238375"/>
            <wp:effectExtent l="0" t="0" r="9525" b="9525"/>
            <wp:docPr id="9218" name="图片 9218" descr="https://timgsa.baidu.com/timg?image&amp;quality=80&amp;size=b9999_10000&amp;sec=1544098015463&amp;di=eac1ec3c805185492226cfc438f31c69&amp;imgtype=0&amp;src=http%3A%2F%2Fimg008.hc360.cn%2Fk3%2FM0E%2F48%2F17%2Fqxz1aa1367503931D7C9B4661F083036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图片 9218" descr="https://timgsa.baidu.com/timg?image&amp;quality=80&amp;size=b9999_10000&amp;sec=1544098015463&amp;di=eac1ec3c805185492226cfc438f31c69&amp;imgtype=0&amp;src=http%3A%2F%2Fimg008.hc360.cn%2Fk3%2FM0E%2F48%2F17%2Fqxz1aa1367503931D7C9B4661F083036FC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238375" cy="2238375"/>
                    </a:xfrm>
                    <a:prstGeom prst="rect">
                      <a:avLst/>
                    </a:prstGeom>
                    <a:noFill/>
                    <a:ln>
                      <a:noFill/>
                    </a:ln>
                  </pic:spPr>
                </pic:pic>
              </a:graphicData>
            </a:graphic>
          </wp:inline>
        </w:drawing>
      </w:r>
      <w:r>
        <w:drawing>
          <wp:inline distT="0" distB="0" distL="0" distR="0">
            <wp:extent cx="2447925" cy="2233295"/>
            <wp:effectExtent l="0" t="0" r="0" b="0"/>
            <wp:docPr id="9220" name="图片 9220" descr="https://timgsa.baidu.com/timg?image&amp;quality=80&amp;size=b9999_10000&amp;sec=1544692820&amp;di=3553078ac7feceffa117145c2f4514f0&amp;imgtype=jpg&amp;er=1&amp;src=http%3A%2F%2Fczglzx.nwsuaf.edu.cn%2Fimages%2Fcontent%2F2018-04%2F2018040409272082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图片 9220" descr="https://timgsa.baidu.com/timg?image&amp;quality=80&amp;size=b9999_10000&amp;sec=1544692820&amp;di=3553078ac7feceffa117145c2f4514f0&amp;imgtype=jpg&amp;er=1&amp;src=http%3A%2F%2Fczglzx.nwsuaf.edu.cn%2Fimages%2Fcontent%2F2018-04%2F20180404092720823959.JPG"/>
                    <pic:cNvPicPr>
                      <a:picLocks noChangeAspect="1" noChangeArrowheads="1"/>
                    </pic:cNvPicPr>
                  </pic:nvPicPr>
                  <pic:blipFill>
                    <a:blip r:embed="rId71">
                      <a:extLst>
                        <a:ext uri="{28A0092B-C50C-407E-A947-70E740481C1C}">
                          <a14:useLocalDpi xmlns:a14="http://schemas.microsoft.com/office/drawing/2010/main" val="0"/>
                        </a:ext>
                      </a:extLst>
                    </a:blip>
                    <a:srcRect r="38400"/>
                    <a:stretch>
                      <a:fillRect/>
                    </a:stretch>
                  </pic:blipFill>
                  <pic:spPr>
                    <a:xfrm>
                      <a:off x="0" y="0"/>
                      <a:ext cx="2457173" cy="2241771"/>
                    </a:xfrm>
                    <a:prstGeom prst="rect">
                      <a:avLst/>
                    </a:prstGeom>
                    <a:noFill/>
                    <a:ln>
                      <a:noFill/>
                    </a:ln>
                  </pic:spPr>
                </pic:pic>
              </a:graphicData>
            </a:graphic>
          </wp:inline>
        </w:drawing>
      </w:r>
    </w:p>
    <w:p>
      <w:pPr>
        <w:pStyle w:val="19"/>
        <w:spacing w:afterLines="0"/>
        <w:ind w:firstLine="0" w:firstLineChars="0"/>
        <w:jc w:val="center"/>
      </w:pPr>
      <w:r>
        <w:rPr>
          <w:rFonts w:hint="eastAsia"/>
        </w:rPr>
        <w:t>图6.4.1-1清表土用于绿化工程实例</w:t>
      </w:r>
    </w:p>
    <w:p>
      <w:pPr>
        <w:pStyle w:val="19"/>
        <w:numPr>
          <w:ilvl w:val="0"/>
          <w:numId w:val="32"/>
        </w:numPr>
        <w:spacing w:afterLines="0"/>
        <w:ind w:left="0" w:firstLine="0" w:firstLineChars="0"/>
      </w:pPr>
      <w:r>
        <w:rPr>
          <w:rFonts w:hint="eastAsia"/>
        </w:rPr>
        <w:t>路基、隧道、基坑等工程的开挖土石方应根据岩石基本岩性指标和开采岩体状况，结合项目实际，进行分级利用。岩体完整坚硬、弱风化或微风化的岩石，可用于轧制碎石或机制砂；岩体完整性较好、风化程度较低的岩石，可用于挡墙、护坡、坝体等结构物砌筑；岩体破碎、风化较严重的岩石、渣土可用于路基和施工便道填筑；适合耕植的土壤，可按照第</w:t>
      </w:r>
      <w:r>
        <w:t>4.6.1</w:t>
      </w:r>
      <w:r>
        <w:rPr>
          <w:rFonts w:hint="eastAsia"/>
        </w:rPr>
        <w:t>条规定予以充分利用。</w:t>
      </w:r>
    </w:p>
    <w:p>
      <w:pPr>
        <w:pStyle w:val="19"/>
        <w:numPr>
          <w:ilvl w:val="0"/>
          <w:numId w:val="32"/>
        </w:numPr>
        <w:spacing w:afterLines="0"/>
        <w:ind w:left="0" w:firstLine="0" w:firstLineChars="0"/>
      </w:pPr>
      <w:r>
        <w:rPr>
          <w:rFonts w:hint="eastAsia"/>
        </w:rPr>
        <w:t>当土石方较多、项目自身无法消化利用，或土石方不够、需外借土石方时，应优先考虑项目周边区域性综合消化利用，如将多余土石方用于地方道路、水库坝体、场地填筑等工程，借方则可利用周边河（航）道开挖土方、其他工程弃渣、工业废渣等，必要时，可采取土体改良等技术以保证工程质量。</w:t>
      </w:r>
    </w:p>
    <w:p>
      <w:pPr>
        <w:spacing w:afterLines="0"/>
        <w:jc w:val="center"/>
      </w:pPr>
      <w:r>
        <w:drawing>
          <wp:inline distT="0" distB="0" distL="0" distR="0">
            <wp:extent cx="2838450" cy="2094230"/>
            <wp:effectExtent l="0" t="0" r="0" b="1270"/>
            <wp:docPr id="14358" name="图片 14358" descr="https://timgsa.baidu.com/timg?image&amp;quality=80&amp;size=b9999_10000&amp;sec=1544176497234&amp;di=6cb438045f692352e0b0a8f7a7dbd244&amp;imgtype=0&amp;src=http%3A%2F%2F5b0988e595225.cdn.sohucs.com%2Fimages%2F20181129%2F42d4fd5b88a44e9b9da5f63e15c2c6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 name="图片 14358" descr="https://timgsa.baidu.com/timg?image&amp;quality=80&amp;size=b9999_10000&amp;sec=1544176497234&amp;di=6cb438045f692352e0b0a8f7a7dbd244&amp;imgtype=0&amp;src=http%3A%2F%2F5b0988e595225.cdn.sohucs.com%2Fimages%2F20181129%2F42d4fd5b88a44e9b9da5f63e15c2c60c.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841299" cy="2096879"/>
                    </a:xfrm>
                    <a:prstGeom prst="rect">
                      <a:avLst/>
                    </a:prstGeom>
                    <a:noFill/>
                    <a:ln>
                      <a:noFill/>
                    </a:ln>
                  </pic:spPr>
                </pic:pic>
              </a:graphicData>
            </a:graphic>
          </wp:inline>
        </w:drawing>
      </w:r>
    </w:p>
    <w:p>
      <w:pPr>
        <w:spacing w:afterLines="0"/>
        <w:jc w:val="center"/>
      </w:pPr>
      <w:r>
        <w:rPr>
          <w:rFonts w:hint="eastAsia"/>
        </w:rPr>
        <w:t>图6.4.3-1洞渣加工碎石实例</w:t>
      </w:r>
    </w:p>
    <w:p>
      <w:pPr>
        <w:pStyle w:val="19"/>
        <w:numPr>
          <w:ilvl w:val="0"/>
          <w:numId w:val="32"/>
        </w:numPr>
        <w:spacing w:afterLines="0"/>
        <w:ind w:left="0" w:firstLine="0" w:firstLineChars="0"/>
      </w:pPr>
      <w:r>
        <w:rPr>
          <w:rFonts w:hint="eastAsia"/>
        </w:rPr>
        <w:t>改（扩）建及养护工程铣刨的原路面废料应及时回收，分类堆放至指定场地，并采取有效的技术措施、通过各种途径予以充分利用，以节约材料和避免污染环境。</w:t>
      </w:r>
    </w:p>
    <w:p>
      <w:pPr>
        <w:pStyle w:val="19"/>
        <w:spacing w:afterLines="0"/>
        <w:ind w:firstLine="0" w:firstLineChars="0"/>
      </w:pPr>
      <w:r>
        <w:rPr>
          <w:rFonts w:hint="eastAsia"/>
        </w:rPr>
        <w:t>注：沥青路面废弃料利用包括：</w:t>
      </w:r>
    </w:p>
    <w:p>
      <w:pPr>
        <w:pStyle w:val="19"/>
        <w:spacing w:afterLines="0"/>
        <w:ind w:firstLine="0" w:firstLineChars="0"/>
      </w:pPr>
      <w:r>
        <w:rPr>
          <w:rFonts w:hint="eastAsia"/>
        </w:rPr>
        <w:t>（1）再生利用：当旧料中的石料及沥青性能明确、各项性能指标符合要求时，可通过再生技术将沥青路面废弃料再生后用于沥青面层。</w:t>
      </w:r>
    </w:p>
    <w:p>
      <w:pPr>
        <w:pStyle w:val="19"/>
        <w:spacing w:afterLines="0"/>
        <w:ind w:firstLine="0" w:firstLineChars="0"/>
      </w:pPr>
      <w:r>
        <w:rPr>
          <w:rFonts w:hint="eastAsia"/>
        </w:rPr>
        <w:t>（2）降级利用：当无法作为路面面层再生利用时，可将沥青路面废弃料降级用于沥青路面的基层中。</w:t>
      </w:r>
    </w:p>
    <w:p>
      <w:pPr>
        <w:pStyle w:val="19"/>
        <w:spacing w:afterLines="0"/>
        <w:ind w:firstLine="0" w:firstLineChars="0"/>
      </w:pPr>
      <w:r>
        <w:rPr>
          <w:rFonts w:hint="eastAsia"/>
        </w:rPr>
        <w:t>（3）转移利用：当无法再生利用时，应详细调查项目周边其他建设工程的需求，将沥青路面废弃料进行转移用于地方低等级道路、市政工程、场地填筑等。</w:t>
      </w:r>
    </w:p>
    <w:p>
      <w:pPr>
        <w:pStyle w:val="3"/>
        <w:numPr>
          <w:ilvl w:val="0"/>
          <w:numId w:val="25"/>
        </w:numPr>
        <w:spacing w:after="312" w:line="415" w:lineRule="auto"/>
        <w:jc w:val="center"/>
      </w:pPr>
      <w:bookmarkStart w:id="28" w:name="_Toc5809715"/>
      <w:r>
        <w:rPr>
          <w:rFonts w:hint="eastAsia"/>
        </w:rPr>
        <w:t>路基</w:t>
      </w:r>
      <w:bookmarkEnd w:id="28"/>
    </w:p>
    <w:p>
      <w:pPr>
        <w:pStyle w:val="19"/>
        <w:numPr>
          <w:ilvl w:val="0"/>
          <w:numId w:val="33"/>
        </w:numPr>
        <w:spacing w:afterLines="0"/>
        <w:ind w:left="0" w:firstLine="0" w:firstLineChars="0"/>
      </w:pPr>
      <w:r>
        <w:rPr>
          <w:rFonts w:hint="eastAsia"/>
        </w:rPr>
        <w:t>路基清表时，植被保护和土层剥离利用应符合以下规定：</w:t>
      </w:r>
    </w:p>
    <w:p>
      <w:pPr>
        <w:pStyle w:val="19"/>
        <w:numPr>
          <w:ilvl w:val="0"/>
          <w:numId w:val="34"/>
        </w:numPr>
        <w:spacing w:afterLines="0"/>
        <w:ind w:left="0" w:firstLine="480"/>
      </w:pPr>
      <w:bookmarkStart w:id="29" w:name="OLE_LINK4"/>
      <w:r>
        <w:rPr>
          <w:rFonts w:hint="eastAsia"/>
        </w:rPr>
        <w:t>地表清理前，应先放出道路红线，明确清理对象和范围，对表土及植被资源进行有效保护，禁止越界施工、乱砍滥伐或焚烧植被。</w:t>
      </w:r>
    </w:p>
    <w:bookmarkEnd w:id="29"/>
    <w:p>
      <w:pPr>
        <w:pStyle w:val="19"/>
        <w:numPr>
          <w:ilvl w:val="0"/>
          <w:numId w:val="34"/>
        </w:numPr>
        <w:spacing w:afterLines="0"/>
        <w:ind w:left="0" w:firstLine="480"/>
      </w:pPr>
      <w:r>
        <w:rPr>
          <w:rFonts w:hint="eastAsia"/>
        </w:rPr>
        <w:t>植被应优先考虑进行移植，植被移植或看法应在专业技术人员的指导下进行，并严格控制砍伐数量和面积。对红线范围内发现的珍稀树种应加以保护，并上报建设单位，确定保护或移植方案，严禁私自移植。</w:t>
      </w:r>
    </w:p>
    <w:p>
      <w:pPr>
        <w:pStyle w:val="19"/>
        <w:numPr>
          <w:ilvl w:val="0"/>
          <w:numId w:val="34"/>
        </w:numPr>
        <w:spacing w:after="312"/>
        <w:ind w:left="0" w:firstLine="480"/>
      </w:pPr>
      <w:bookmarkStart w:id="30" w:name="OLE_LINK2"/>
      <w:r>
        <w:rPr>
          <w:rFonts w:hint="eastAsia"/>
        </w:rPr>
        <w:t>表层土应指定专门人员进行剥离作业。表层土剥离后应及时收集、集中堆放，并设置标识牌。堆放场地宜选择服务区、收费站、互通区等红线内土地，或在山坡山沟地段堆放，避免堆放于山洪下泻或水流行道沟段，避免堆放于河滩上。表层土宜梯形堆放，拍实，以塑料布覆盖或绿化，坡脚处设简易排水沟，坡山沟地堆放时，周围应设置挡土墙。表层土堆场可考虑作为假植场地。</w:t>
      </w:r>
    </w:p>
    <w:p>
      <w:pPr>
        <w:pStyle w:val="19"/>
        <w:numPr>
          <w:ilvl w:val="0"/>
          <w:numId w:val="33"/>
        </w:numPr>
        <w:spacing w:afterLines="0"/>
        <w:ind w:left="0" w:firstLine="0" w:firstLineChars="0"/>
      </w:pPr>
      <w:r>
        <w:rPr>
          <w:rFonts w:hint="eastAsia"/>
        </w:rPr>
        <w:t>路基施工前，要挖通两侧边沟，防止施工泥浆水直接流入河道、灌入农田中；路基施工中，应及时修筑或恢复排水系统，凡属施工占用的，应修建临时性沟渠或排水管涵。</w:t>
      </w:r>
    </w:p>
    <w:p>
      <w:pPr>
        <w:pStyle w:val="19"/>
        <w:numPr>
          <w:ilvl w:val="0"/>
          <w:numId w:val="33"/>
        </w:numPr>
        <w:spacing w:after="312" w:afterLines="0"/>
        <w:ind w:left="0" w:firstLine="0" w:firstLineChars="0"/>
      </w:pPr>
      <w:r>
        <w:rPr>
          <w:rFonts w:hint="eastAsia"/>
        </w:rPr>
        <w:t>消解石灰应采取措施，不得将消解水直接排入农田。</w:t>
      </w:r>
      <w:bookmarkEnd w:id="30"/>
    </w:p>
    <w:p>
      <w:pPr>
        <w:pStyle w:val="3"/>
        <w:numPr>
          <w:ilvl w:val="0"/>
          <w:numId w:val="25"/>
        </w:numPr>
        <w:spacing w:after="312" w:line="415" w:lineRule="auto"/>
        <w:jc w:val="center"/>
      </w:pPr>
      <w:bookmarkStart w:id="31" w:name="_Toc5809716"/>
      <w:r>
        <w:rPr>
          <w:rFonts w:hint="eastAsia"/>
        </w:rPr>
        <w:t>路面</w:t>
      </w:r>
      <w:bookmarkEnd w:id="31"/>
    </w:p>
    <w:p>
      <w:pPr>
        <w:pStyle w:val="19"/>
        <w:numPr>
          <w:ilvl w:val="2"/>
          <w:numId w:val="35"/>
        </w:numPr>
        <w:spacing w:after="312"/>
        <w:ind w:left="0" w:firstLine="0" w:firstLineChars="0"/>
      </w:pPr>
      <w:r>
        <w:rPr>
          <w:rFonts w:hint="eastAsia"/>
        </w:rPr>
        <w:t>应加强对施工机械的严格检查，禁止油料泄露污染路面。施工机械发生故障有可能产生油污水的，应及时采取吸油材料进行处理，防止油污水对路面的污染。</w:t>
      </w:r>
    </w:p>
    <w:p>
      <w:pPr>
        <w:pStyle w:val="19"/>
        <w:numPr>
          <w:ilvl w:val="2"/>
          <w:numId w:val="35"/>
        </w:numPr>
        <w:spacing w:after="312"/>
        <w:ind w:left="0" w:firstLine="0" w:firstLineChars="0"/>
      </w:pPr>
      <w:r>
        <w:rPr>
          <w:rFonts w:hint="eastAsia"/>
        </w:rPr>
        <w:t>对路面施工产生的污水应采取有效措施，防止排入河流或地表水系。在沥青拌和场应设置污水沉淀池，经处理后排放，或用于洒水降尘处理。</w:t>
      </w:r>
    </w:p>
    <w:p>
      <w:pPr>
        <w:pStyle w:val="19"/>
        <w:numPr>
          <w:ilvl w:val="2"/>
          <w:numId w:val="35"/>
        </w:numPr>
        <w:spacing w:after="312"/>
        <w:ind w:left="0" w:firstLine="0" w:firstLineChars="0"/>
      </w:pPr>
      <w:r>
        <w:rPr>
          <w:rFonts w:hint="eastAsia"/>
        </w:rPr>
        <w:t>油料等建筑材料必须远离水体，采用灌装运输。</w:t>
      </w:r>
    </w:p>
    <w:p>
      <w:pPr>
        <w:pStyle w:val="3"/>
        <w:numPr>
          <w:ilvl w:val="0"/>
          <w:numId w:val="25"/>
        </w:numPr>
        <w:spacing w:after="312" w:line="415" w:lineRule="auto"/>
        <w:jc w:val="center"/>
      </w:pPr>
      <w:bookmarkStart w:id="32" w:name="_Toc5809717"/>
      <w:r>
        <w:rPr>
          <w:rFonts w:hint="eastAsia"/>
        </w:rPr>
        <w:t>临时占地</w:t>
      </w:r>
      <w:bookmarkEnd w:id="32"/>
    </w:p>
    <w:p>
      <w:pPr>
        <w:pStyle w:val="19"/>
        <w:numPr>
          <w:ilvl w:val="2"/>
          <w:numId w:val="36"/>
        </w:numPr>
        <w:spacing w:after="312"/>
        <w:ind w:left="0" w:firstLine="0" w:firstLineChars="0"/>
      </w:pPr>
      <w:r>
        <w:rPr>
          <w:rFonts w:hint="eastAsia"/>
        </w:rPr>
        <w:t>施工场地尽量选择在永久征地范围内。如需另外选址，应尽量选择荒山荒地，远离居民集中区和村镇等敏感性区域。</w:t>
      </w:r>
    </w:p>
    <w:p>
      <w:pPr>
        <w:pStyle w:val="19"/>
        <w:numPr>
          <w:ilvl w:val="2"/>
          <w:numId w:val="36"/>
        </w:numPr>
        <w:spacing w:after="312"/>
        <w:ind w:left="0" w:firstLine="0" w:firstLineChars="0"/>
      </w:pPr>
      <w:r>
        <w:rPr>
          <w:rFonts w:hint="eastAsia"/>
        </w:rPr>
        <w:t>施工营地可选择租用沿线村民住房，不得在耕地或林地内设置，尽量减少临时占地。</w:t>
      </w:r>
    </w:p>
    <w:p>
      <w:pPr>
        <w:pStyle w:val="19"/>
        <w:numPr>
          <w:ilvl w:val="2"/>
          <w:numId w:val="36"/>
        </w:numPr>
        <w:spacing w:after="312"/>
        <w:ind w:left="0" w:firstLine="0" w:firstLineChars="0"/>
      </w:pPr>
      <w:r>
        <w:rPr>
          <w:rFonts w:hint="eastAsia"/>
        </w:rPr>
        <w:t>施工临时占地应避免占用耕地和基本农田、公益林、保护植物（包括大树）所在地等敏感性区域。</w:t>
      </w:r>
    </w:p>
    <w:p>
      <w:pPr>
        <w:pStyle w:val="19"/>
        <w:numPr>
          <w:ilvl w:val="2"/>
          <w:numId w:val="36"/>
        </w:numPr>
        <w:spacing w:after="312"/>
        <w:ind w:left="0" w:firstLine="0" w:firstLineChars="0"/>
      </w:pPr>
      <w:r>
        <w:rPr>
          <w:rFonts w:hint="eastAsia"/>
        </w:rPr>
        <w:t>临时施工场地应尽量远离河流，避免施工生产生活废水污染沿线水体水质。</w:t>
      </w:r>
    </w:p>
    <w:p>
      <w:pPr>
        <w:pStyle w:val="19"/>
        <w:numPr>
          <w:ilvl w:val="2"/>
          <w:numId w:val="36"/>
        </w:numPr>
        <w:spacing w:after="312"/>
        <w:ind w:left="0" w:firstLine="0" w:firstLineChars="0"/>
      </w:pPr>
      <w:r>
        <w:rPr>
          <w:rFonts w:hint="eastAsia"/>
        </w:rPr>
        <w:t>施工便道尽量利用现有道路（县道、村道），结合当地政府建设规划对现有乡道进行改造。新开辟的施工便道，尽量减少高填深挖，做好水土保持，减少水土流失和生态破坏。工程结束后，可作为乡村道路，如将来无法使用的，需进行生态恢复。</w:t>
      </w:r>
    </w:p>
    <w:p>
      <w:pPr>
        <w:pStyle w:val="19"/>
        <w:numPr>
          <w:ilvl w:val="2"/>
          <w:numId w:val="36"/>
        </w:numPr>
        <w:spacing w:after="312"/>
        <w:ind w:left="0" w:firstLine="0" w:firstLineChars="0"/>
      </w:pPr>
      <w:r>
        <w:rPr>
          <w:rFonts w:hint="eastAsia"/>
        </w:rPr>
        <w:t>临时用地不得改变约定的土地用途，不得新建永久性建构筑物。材料上无特殊要求的，不得采用现浇钢筋混凝土等耐久性材料。</w:t>
      </w:r>
    </w:p>
    <w:p>
      <w:pPr>
        <w:spacing w:after="312"/>
      </w:pPr>
    </w:p>
    <w:p>
      <w:pPr>
        <w:spacing w:after="312"/>
      </w:pPr>
    </w:p>
    <w:p>
      <w:pPr>
        <w:pStyle w:val="19"/>
        <w:spacing w:after="312"/>
        <w:ind w:left="425" w:firstLine="0" w:firstLineChars="0"/>
        <w:sectPr>
          <w:pgSz w:w="11906" w:h="16838"/>
          <w:pgMar w:top="1440" w:right="1800" w:bottom="1440" w:left="1800" w:header="851" w:footer="992" w:gutter="0"/>
          <w:cols w:space="425" w:num="1"/>
          <w:docGrid w:type="lines" w:linePitch="312" w:charSpace="0"/>
        </w:sectPr>
      </w:pPr>
    </w:p>
    <w:p>
      <w:pPr>
        <w:pStyle w:val="2"/>
        <w:numPr>
          <w:ilvl w:val="0"/>
          <w:numId w:val="24"/>
        </w:numPr>
        <w:spacing w:after="312"/>
        <w:rPr>
          <w:rFonts w:cs="Times New Roman"/>
        </w:rPr>
      </w:pPr>
      <w:bookmarkStart w:id="33" w:name="_Toc5809718"/>
      <w:r>
        <w:rPr>
          <w:rFonts w:hint="eastAsia" w:cs="Times New Roman"/>
        </w:rPr>
        <w:t>河湖工程</w:t>
      </w:r>
      <w:bookmarkEnd w:id="33"/>
    </w:p>
    <w:p>
      <w:pPr>
        <w:pStyle w:val="3"/>
        <w:numPr>
          <w:ilvl w:val="1"/>
          <w:numId w:val="14"/>
        </w:numPr>
        <w:spacing w:before="312" w:beforeLines="100" w:after="312" w:line="360" w:lineRule="auto"/>
        <w:ind w:left="493" w:hanging="493"/>
        <w:jc w:val="center"/>
      </w:pPr>
      <w:bookmarkStart w:id="34" w:name="_Toc5809719"/>
      <w:r>
        <w:rPr>
          <w:rFonts w:hint="eastAsia"/>
        </w:rPr>
        <w:t>环保疏浚</w:t>
      </w:r>
      <w:bookmarkEnd w:id="34"/>
    </w:p>
    <w:p>
      <w:pPr>
        <w:pStyle w:val="19"/>
        <w:numPr>
          <w:ilvl w:val="2"/>
          <w:numId w:val="14"/>
        </w:numPr>
        <w:spacing w:after="312"/>
        <w:ind w:left="0" w:firstLine="0" w:firstLineChars="0"/>
      </w:pPr>
      <w:r>
        <w:rPr>
          <w:rFonts w:hint="eastAsia"/>
        </w:rPr>
        <w:t>疏浚应采用环保型绞吸装置。</w:t>
      </w:r>
    </w:p>
    <w:p>
      <w:pPr>
        <w:pStyle w:val="19"/>
        <w:numPr>
          <w:ilvl w:val="2"/>
          <w:numId w:val="14"/>
        </w:numPr>
        <w:spacing w:after="312"/>
        <w:ind w:left="0" w:firstLine="0" w:firstLineChars="0"/>
      </w:pPr>
      <w:r>
        <w:rPr>
          <w:rFonts w:hint="eastAsia"/>
        </w:rPr>
        <w:t>疏浚过程中，水体悬浮物的扩散距离不应超过1</w:t>
      </w:r>
      <w:r>
        <w:t>5m</w:t>
      </w:r>
      <w:r>
        <w:rPr>
          <w:rFonts w:hint="eastAsia"/>
        </w:rPr>
        <w:t>，超过1</w:t>
      </w:r>
      <w:r>
        <w:t>5m</w:t>
      </w:r>
      <w:r>
        <w:rPr>
          <w:rFonts w:hint="eastAsia"/>
        </w:rPr>
        <w:t>时应调整施工技术参数。</w:t>
      </w:r>
    </w:p>
    <w:p>
      <w:pPr>
        <w:pStyle w:val="19"/>
        <w:numPr>
          <w:ilvl w:val="2"/>
          <w:numId w:val="14"/>
        </w:numPr>
        <w:spacing w:after="312"/>
        <w:ind w:left="0" w:firstLine="0" w:firstLineChars="0"/>
      </w:pPr>
      <w:r>
        <w:rPr>
          <w:rFonts w:hint="eastAsia"/>
        </w:rPr>
        <w:t>污泥堆场和沉淀池布置应充分利用洼地、荒地，尽量少占耕地，尽量远离居住点和水源地，不应打乱当地已有的农田排灌系统。</w:t>
      </w:r>
    </w:p>
    <w:p>
      <w:pPr>
        <w:pStyle w:val="19"/>
        <w:numPr>
          <w:ilvl w:val="2"/>
          <w:numId w:val="14"/>
        </w:numPr>
        <w:spacing w:after="312"/>
        <w:ind w:left="0" w:firstLine="0" w:firstLineChars="0"/>
      </w:pPr>
      <w:r>
        <w:rPr>
          <w:rFonts w:hint="eastAsia"/>
        </w:rPr>
        <w:t>排泥管线布置应平顺，接头应紧固严密，支架支撑应牢固可靠，避免污泥输送过程中出现漏水现象，造成二次污染。</w:t>
      </w:r>
    </w:p>
    <w:p>
      <w:pPr>
        <w:pStyle w:val="19"/>
        <w:numPr>
          <w:ilvl w:val="2"/>
          <w:numId w:val="14"/>
        </w:numPr>
        <w:spacing w:after="312"/>
        <w:ind w:left="0" w:firstLine="0" w:firstLineChars="0"/>
      </w:pPr>
      <w:r>
        <w:rPr>
          <w:rFonts w:hint="eastAsia"/>
        </w:rPr>
        <w:t>船舶加油均托运至临时码头边进行，加油中严禁泄露。船舶废弃机油、黄油等均集中装筒外运处理，严禁向河湖中抛弃。</w:t>
      </w:r>
    </w:p>
    <w:p>
      <w:pPr>
        <w:pStyle w:val="19"/>
        <w:numPr>
          <w:ilvl w:val="2"/>
          <w:numId w:val="14"/>
        </w:numPr>
        <w:spacing w:afterLines="0"/>
        <w:ind w:left="0" w:firstLine="0" w:firstLineChars="0"/>
      </w:pPr>
      <w:r>
        <w:rPr>
          <w:rFonts w:hint="eastAsia"/>
        </w:rPr>
        <w:t>疏浚工程中防臭措施：</w:t>
      </w:r>
    </w:p>
    <w:p>
      <w:pPr>
        <w:pStyle w:val="19"/>
        <w:numPr>
          <w:ilvl w:val="0"/>
          <w:numId w:val="37"/>
        </w:numPr>
        <w:spacing w:afterLines="0"/>
        <w:ind w:left="0" w:firstLine="480"/>
      </w:pPr>
      <w:r>
        <w:rPr>
          <w:rFonts w:hint="eastAsia"/>
        </w:rPr>
        <w:t>原则上堆场</w:t>
      </w:r>
      <w:r>
        <w:rPr>
          <w:rFonts w:hint="eastAsia"/>
          <w:szCs w:val="24"/>
        </w:rPr>
        <w:t>选择</w:t>
      </w:r>
      <w:r>
        <w:rPr>
          <w:rFonts w:hint="eastAsia"/>
        </w:rPr>
        <w:t>应远离居民区；</w:t>
      </w:r>
    </w:p>
    <w:p>
      <w:pPr>
        <w:pStyle w:val="19"/>
        <w:numPr>
          <w:ilvl w:val="0"/>
          <w:numId w:val="37"/>
        </w:numPr>
        <w:spacing w:afterLines="0"/>
        <w:ind w:left="0" w:firstLine="480"/>
      </w:pPr>
      <w:r>
        <w:rPr>
          <w:rFonts w:hint="eastAsia"/>
        </w:rPr>
        <w:t>污泥输送过程中应全程封闭，采用压力管道输送，同时考虑在管道中投加氧化剂，达到完全或部分消除臭味的效果。</w:t>
      </w:r>
    </w:p>
    <w:p>
      <w:pPr>
        <w:pStyle w:val="19"/>
        <w:numPr>
          <w:ilvl w:val="0"/>
          <w:numId w:val="37"/>
        </w:numPr>
        <w:spacing w:afterLines="0"/>
        <w:ind w:left="0" w:firstLine="480"/>
      </w:pPr>
      <w:r>
        <w:rPr>
          <w:rFonts w:hint="eastAsia"/>
        </w:rPr>
        <w:t>尽量减少污泥与外界大气的接触面积和接触时间。</w:t>
      </w:r>
    </w:p>
    <w:p>
      <w:pPr>
        <w:pStyle w:val="19"/>
        <w:numPr>
          <w:ilvl w:val="0"/>
          <w:numId w:val="37"/>
        </w:numPr>
        <w:spacing w:after="312"/>
        <w:ind w:left="0" w:firstLine="480"/>
      </w:pPr>
      <w:r>
        <w:rPr>
          <w:rFonts w:hint="eastAsia"/>
        </w:rPr>
        <w:t>尽可能快地在堆置底泥顶部种植草本植物，减少底泥中残余的挥发性臭味外泄。</w:t>
      </w:r>
    </w:p>
    <w:p>
      <w:pPr>
        <w:pStyle w:val="19"/>
        <w:numPr>
          <w:ilvl w:val="2"/>
          <w:numId w:val="14"/>
        </w:numPr>
        <w:spacing w:afterLines="0"/>
        <w:ind w:left="0" w:firstLine="0" w:firstLineChars="0"/>
      </w:pPr>
      <w:r>
        <w:rPr>
          <w:rFonts w:hint="eastAsia"/>
        </w:rPr>
        <w:t>堆放场二次污染防治措施：</w:t>
      </w:r>
    </w:p>
    <w:p>
      <w:pPr>
        <w:pStyle w:val="19"/>
        <w:numPr>
          <w:ilvl w:val="0"/>
          <w:numId w:val="38"/>
        </w:numPr>
        <w:spacing w:afterLines="0"/>
        <w:ind w:left="0" w:firstLine="480"/>
      </w:pPr>
      <w:r>
        <w:rPr>
          <w:rFonts w:hint="eastAsia"/>
        </w:rPr>
        <w:t>在透水地基上的堆场必须有效防止底部渗漏。堆场底部防渗可参照《渠道防渗工程技术规范》S</w:t>
      </w:r>
      <w:r>
        <w:t>L18</w:t>
      </w:r>
      <w:r>
        <w:rPr>
          <w:rFonts w:hint="eastAsia"/>
        </w:rPr>
        <w:t>和《生活垃圾卫生填埋场防渗系统工程技术规范》C</w:t>
      </w:r>
      <w:r>
        <w:t>JJ113</w:t>
      </w:r>
      <w:r>
        <w:rPr>
          <w:rFonts w:hint="eastAsia"/>
        </w:rPr>
        <w:t>。</w:t>
      </w:r>
    </w:p>
    <w:p>
      <w:pPr>
        <w:pStyle w:val="19"/>
        <w:numPr>
          <w:ilvl w:val="0"/>
          <w:numId w:val="38"/>
        </w:numPr>
        <w:spacing w:afterLines="0"/>
        <w:ind w:left="0" w:firstLine="480"/>
      </w:pPr>
      <w:r>
        <w:rPr>
          <w:rFonts w:hint="eastAsia"/>
        </w:rPr>
        <w:t>堆场顶部采取植树种草、覆盖地面、混凝土喷射等防冲刷措施。</w:t>
      </w:r>
    </w:p>
    <w:p>
      <w:pPr>
        <w:pStyle w:val="19"/>
        <w:numPr>
          <w:ilvl w:val="0"/>
          <w:numId w:val="38"/>
        </w:numPr>
        <w:spacing w:after="312"/>
        <w:ind w:left="0" w:firstLine="480"/>
      </w:pPr>
      <w:r>
        <w:rPr>
          <w:rFonts w:hint="eastAsia"/>
        </w:rPr>
        <w:t>定期检测排水口尾水水体悬浮物（S</w:t>
      </w:r>
      <w:r>
        <w:t>S</w:t>
      </w:r>
      <w:r>
        <w:rPr>
          <w:rFonts w:hint="eastAsia"/>
        </w:rPr>
        <w:t>值），水体悬浮物值（S</w:t>
      </w:r>
      <w:r>
        <w:t>S</w:t>
      </w:r>
      <w:r>
        <w:rPr>
          <w:rFonts w:hint="eastAsia"/>
        </w:rPr>
        <w:t>值）应根据污水受纳水域环境功能类别执行《污水综合排放标准》GB 8978相应限值；超过1</w:t>
      </w:r>
      <w:r>
        <w:t>50mg/L</w:t>
      </w:r>
      <w:r>
        <w:rPr>
          <w:rFonts w:hint="eastAsia"/>
        </w:rPr>
        <w:t>时，应调整絮凝剂的投放剂量和排水口溢流堰堰顶高程。</w:t>
      </w:r>
    </w:p>
    <w:p>
      <w:pPr>
        <w:pStyle w:val="19"/>
        <w:numPr>
          <w:ilvl w:val="2"/>
          <w:numId w:val="14"/>
        </w:numPr>
        <w:spacing w:afterLines="0"/>
        <w:ind w:left="0" w:firstLine="0" w:firstLineChars="0"/>
      </w:pPr>
      <w:r>
        <w:rPr>
          <w:rFonts w:hint="eastAsia"/>
        </w:rPr>
        <w:t>浚后污泥应采取无害化和资源化利用措施。</w:t>
      </w:r>
    </w:p>
    <w:p>
      <w:pPr>
        <w:pStyle w:val="3"/>
        <w:numPr>
          <w:ilvl w:val="1"/>
          <w:numId w:val="14"/>
        </w:numPr>
        <w:spacing w:before="312" w:beforeLines="100" w:after="312" w:line="360" w:lineRule="auto"/>
        <w:ind w:left="493" w:hanging="493"/>
        <w:jc w:val="center"/>
      </w:pPr>
      <w:bookmarkStart w:id="35" w:name="_Toc5809720"/>
      <w:r>
        <w:rPr>
          <w:rFonts w:hint="eastAsia"/>
        </w:rPr>
        <w:t>废污水污染防治</w:t>
      </w:r>
      <w:bookmarkEnd w:id="35"/>
    </w:p>
    <w:p>
      <w:pPr>
        <w:pStyle w:val="19"/>
        <w:numPr>
          <w:ilvl w:val="0"/>
          <w:numId w:val="39"/>
        </w:numPr>
        <w:spacing w:after="312"/>
        <w:ind w:left="0" w:firstLine="0" w:firstLineChars="0"/>
      </w:pPr>
      <w:r>
        <w:rPr>
          <w:rFonts w:hint="eastAsia"/>
        </w:rPr>
        <w:t>废污水处理应包括施工产生废水和施工人员生活污水处理，其中施工生产废水主要包括砂石料加工系统废水、混凝土拌合系统废水等。</w:t>
      </w:r>
    </w:p>
    <w:p>
      <w:pPr>
        <w:pStyle w:val="19"/>
        <w:numPr>
          <w:ilvl w:val="0"/>
          <w:numId w:val="39"/>
        </w:numPr>
        <w:spacing w:after="312"/>
        <w:ind w:left="0" w:firstLine="0" w:firstLineChars="0"/>
      </w:pPr>
      <w:r>
        <w:rPr>
          <w:rFonts w:hint="eastAsia"/>
        </w:rPr>
        <w:t>施工生产废水和生活污水排放应执行《污水综合排放标准》</w:t>
      </w:r>
      <w:r>
        <w:t>GB8978</w:t>
      </w:r>
      <w:r>
        <w:rPr>
          <w:rFonts w:hint="eastAsia"/>
        </w:rPr>
        <w:t>的规定，排入农田应执行《农田灌溉水质标准》</w:t>
      </w:r>
      <w:r>
        <w:t>GB5084</w:t>
      </w:r>
      <w:r>
        <w:rPr>
          <w:rFonts w:hint="eastAsia"/>
        </w:rPr>
        <w:t>的规定。</w:t>
      </w:r>
    </w:p>
    <w:p>
      <w:pPr>
        <w:pStyle w:val="19"/>
        <w:numPr>
          <w:ilvl w:val="0"/>
          <w:numId w:val="39"/>
        </w:numPr>
        <w:spacing w:after="312"/>
        <w:ind w:left="0" w:firstLine="0" w:firstLineChars="0"/>
      </w:pPr>
      <w:r>
        <w:rPr>
          <w:rFonts w:hint="eastAsia"/>
        </w:rPr>
        <w:t>生产废水不得直接排入河流。</w:t>
      </w:r>
    </w:p>
    <w:p>
      <w:pPr>
        <w:pStyle w:val="19"/>
        <w:numPr>
          <w:ilvl w:val="0"/>
          <w:numId w:val="39"/>
        </w:numPr>
        <w:spacing w:after="312"/>
        <w:ind w:left="0" w:firstLine="0" w:firstLineChars="0"/>
      </w:pPr>
      <w:r>
        <w:rPr>
          <w:rFonts w:hint="eastAsia"/>
        </w:rPr>
        <w:t>在饮用水水源一级保护区和二级保护区内，不应设置施工废水排污口。生活饮用水水源取水点上游1</w:t>
      </w:r>
      <w:r>
        <w:t>000m</w:t>
      </w:r>
      <w:r>
        <w:rPr>
          <w:rFonts w:hint="eastAsia"/>
        </w:rPr>
        <w:t>和下游1</w:t>
      </w:r>
      <w:r>
        <w:t>000m</w:t>
      </w:r>
      <w:r>
        <w:rPr>
          <w:rFonts w:hint="eastAsia"/>
        </w:rPr>
        <w:t>以内的水域，不得排入施工废污水。</w:t>
      </w:r>
    </w:p>
    <w:p>
      <w:pPr>
        <w:pStyle w:val="19"/>
        <w:numPr>
          <w:ilvl w:val="0"/>
          <w:numId w:val="39"/>
        </w:numPr>
        <w:spacing w:after="312"/>
        <w:ind w:left="0" w:firstLine="0" w:firstLineChars="0"/>
      </w:pPr>
      <w:r>
        <w:rPr>
          <w:rFonts w:hint="eastAsia"/>
        </w:rPr>
        <w:t>砂石料加工系统废水的处理应根据废水量、排放量、排放防水、排放水域功能要求和地形等条件确定。</w:t>
      </w:r>
    </w:p>
    <w:p>
      <w:pPr>
        <w:pStyle w:val="19"/>
        <w:numPr>
          <w:ilvl w:val="0"/>
          <w:numId w:val="39"/>
        </w:numPr>
        <w:spacing w:after="312"/>
        <w:ind w:left="0" w:firstLine="0" w:firstLineChars="0"/>
      </w:pPr>
      <w:r>
        <w:rPr>
          <w:rFonts w:hint="eastAsia"/>
        </w:rPr>
        <w:t>砂石料加工系统废水采用自然沉淀法进行处理时，应根据地形条件布置沉淀池，并保证有足够沉淀时间。沉淀池应及时进行清理。</w:t>
      </w:r>
    </w:p>
    <w:p>
      <w:pPr>
        <w:pStyle w:val="19"/>
        <w:numPr>
          <w:ilvl w:val="0"/>
          <w:numId w:val="39"/>
        </w:numPr>
        <w:spacing w:afterLines="0"/>
        <w:ind w:left="0" w:firstLine="0" w:firstLineChars="0"/>
      </w:pPr>
      <w:r>
        <w:rPr>
          <w:rFonts w:hint="eastAsia"/>
        </w:rPr>
        <w:t>砂石料加工系统废水采用絮凝沉淀法处理时，应符合系列要求：</w:t>
      </w:r>
    </w:p>
    <w:p>
      <w:pPr>
        <w:pStyle w:val="19"/>
        <w:numPr>
          <w:ilvl w:val="0"/>
          <w:numId w:val="40"/>
        </w:numPr>
        <w:spacing w:afterLines="0"/>
        <w:ind w:left="0" w:firstLine="480"/>
      </w:pPr>
      <w:r>
        <w:rPr>
          <w:rFonts w:hint="eastAsia"/>
        </w:rPr>
        <w:t>沉沙处理：可采用沉砂池与螺旋式沙水分离器组合方式或细砂回收处理器成套设备进行处理。</w:t>
      </w:r>
    </w:p>
    <w:p>
      <w:pPr>
        <w:pStyle w:val="19"/>
        <w:numPr>
          <w:ilvl w:val="0"/>
          <w:numId w:val="40"/>
        </w:numPr>
        <w:spacing w:after="312"/>
        <w:ind w:left="0" w:firstLine="480"/>
      </w:pPr>
      <w:r>
        <w:rPr>
          <w:rFonts w:hint="eastAsia"/>
        </w:rPr>
        <w:t>絮凝沉淀：废水经沉淀，加入絮凝剂，上清液收集回用，泥浆自然干化，滤池应及时清理。</w:t>
      </w:r>
    </w:p>
    <w:p>
      <w:pPr>
        <w:pStyle w:val="19"/>
        <w:numPr>
          <w:ilvl w:val="0"/>
          <w:numId w:val="39"/>
        </w:numPr>
        <w:spacing w:after="312"/>
        <w:ind w:left="0" w:firstLine="0" w:firstLineChars="0"/>
      </w:pPr>
      <w:r>
        <w:rPr>
          <w:rFonts w:hint="eastAsia"/>
        </w:rPr>
        <w:t>混凝土拌合系统废水处理应结合工程布置，就近设置冲洗废水沉淀池，上清液可循环使用。废水宜进行中和处理。</w:t>
      </w:r>
    </w:p>
    <w:p>
      <w:pPr>
        <w:pStyle w:val="19"/>
        <w:numPr>
          <w:ilvl w:val="0"/>
          <w:numId w:val="39"/>
        </w:numPr>
        <w:spacing w:after="312"/>
        <w:ind w:left="0" w:firstLine="0" w:firstLineChars="0"/>
      </w:pPr>
      <w:r>
        <w:rPr>
          <w:rFonts w:hint="eastAsia"/>
        </w:rPr>
        <w:t>生活污水不应随意排放，采用化粪池处理污水时，应及时清运。</w:t>
      </w:r>
    </w:p>
    <w:p>
      <w:pPr>
        <w:pStyle w:val="19"/>
        <w:numPr>
          <w:ilvl w:val="0"/>
          <w:numId w:val="39"/>
        </w:numPr>
        <w:spacing w:after="312"/>
        <w:ind w:left="0" w:firstLine="0" w:firstLineChars="0"/>
      </w:pPr>
      <w:r>
        <w:rPr>
          <w:rFonts w:hint="eastAsia"/>
        </w:rPr>
        <w:t>施工时被临时占用的河道，施工完毕后，必须立即进行清理。</w:t>
      </w:r>
    </w:p>
    <w:p>
      <w:pPr>
        <w:pStyle w:val="3"/>
        <w:numPr>
          <w:ilvl w:val="1"/>
          <w:numId w:val="14"/>
        </w:numPr>
        <w:spacing w:before="312" w:beforeLines="100" w:after="312" w:line="360" w:lineRule="auto"/>
        <w:ind w:left="493" w:hanging="493"/>
        <w:jc w:val="center"/>
      </w:pPr>
      <w:bookmarkStart w:id="36" w:name="_Toc5809721"/>
      <w:r>
        <w:rPr>
          <w:rFonts w:hint="eastAsia"/>
        </w:rPr>
        <w:t>废气污染防治</w:t>
      </w:r>
      <w:bookmarkEnd w:id="36"/>
    </w:p>
    <w:p>
      <w:pPr>
        <w:pStyle w:val="19"/>
        <w:numPr>
          <w:ilvl w:val="0"/>
          <w:numId w:val="41"/>
        </w:numPr>
        <w:spacing w:after="312"/>
        <w:ind w:left="0" w:firstLine="0" w:firstLineChars="0"/>
      </w:pPr>
      <w:r>
        <w:rPr>
          <w:rFonts w:hint="eastAsia"/>
        </w:rPr>
        <w:t>施工大气污染防治包括：土石方开挖、爆破、砂石料加工、混凝土拌和、物料运输和储存及废渣运输、倾倒产生的粉尘、扬尘的防治；燃油、施工机械、车辆及生活燃煤排放废气的防治。</w:t>
      </w:r>
    </w:p>
    <w:p>
      <w:pPr>
        <w:pStyle w:val="19"/>
        <w:numPr>
          <w:ilvl w:val="0"/>
          <w:numId w:val="41"/>
        </w:numPr>
        <w:spacing w:after="312"/>
        <w:ind w:left="0" w:firstLine="0" w:firstLineChars="0"/>
      </w:pPr>
      <w:r>
        <w:rPr>
          <w:rFonts w:hint="eastAsia"/>
        </w:rPr>
        <w:t>污染物经处理后，工程影响区环境空气质量应达到《环境空气质量标准》G</w:t>
      </w:r>
      <w:r>
        <w:t>B3095</w:t>
      </w:r>
      <w:r>
        <w:rPr>
          <w:rFonts w:hint="eastAsia"/>
        </w:rPr>
        <w:t>相应功能区要求。</w:t>
      </w:r>
    </w:p>
    <w:p>
      <w:pPr>
        <w:pStyle w:val="19"/>
        <w:numPr>
          <w:ilvl w:val="0"/>
          <w:numId w:val="41"/>
        </w:numPr>
        <w:spacing w:after="312"/>
        <w:ind w:left="0" w:firstLine="0" w:firstLineChars="0"/>
      </w:pPr>
      <w:r>
        <w:rPr>
          <w:rFonts w:hint="eastAsia"/>
        </w:rPr>
        <w:t>砂石料加工宜采用湿法破碎的低尘工艺，降低转运落差，密闭尘源。</w:t>
      </w:r>
    </w:p>
    <w:p>
      <w:pPr>
        <w:pStyle w:val="19"/>
        <w:numPr>
          <w:ilvl w:val="0"/>
          <w:numId w:val="41"/>
        </w:numPr>
        <w:spacing w:after="312"/>
        <w:ind w:left="0" w:firstLine="0" w:firstLineChars="0"/>
      </w:pPr>
      <w:r>
        <w:rPr>
          <w:rFonts w:hint="eastAsia"/>
        </w:rPr>
        <w:t>水泥、石灰、粉煤灰等细颗粒材料运输应采用密封罐车；采用敞篷车运输，应用篷布遮盖。装卸、堆放中应防止物料流散。水泥临时备料场宜建在有排浆引流的混凝土搅拌场或预制场内，就近使用。</w:t>
      </w:r>
    </w:p>
    <w:p>
      <w:pPr>
        <w:pStyle w:val="19"/>
        <w:numPr>
          <w:ilvl w:val="0"/>
          <w:numId w:val="41"/>
        </w:numPr>
        <w:spacing w:after="312"/>
        <w:ind w:left="0" w:firstLine="0" w:firstLineChars="0"/>
      </w:pPr>
      <w:r>
        <w:rPr>
          <w:rFonts w:hint="eastAsia"/>
        </w:rPr>
        <w:t>施工公路应定期养护，配备洒水车或采用人工洒水防尘。</w:t>
      </w:r>
    </w:p>
    <w:p>
      <w:pPr>
        <w:pStyle w:val="19"/>
        <w:numPr>
          <w:ilvl w:val="0"/>
          <w:numId w:val="41"/>
        </w:numPr>
        <w:spacing w:after="312"/>
        <w:ind w:left="0" w:firstLine="0" w:firstLineChars="0"/>
      </w:pPr>
      <w:r>
        <w:rPr>
          <w:rFonts w:hint="eastAsia"/>
        </w:rPr>
        <w:t>施工运输车宜选用安全排气净化器的机动车，使用符合标准的油料或清洁能源，减少尾气污染物排放。</w:t>
      </w:r>
    </w:p>
    <w:p>
      <w:pPr>
        <w:pStyle w:val="3"/>
        <w:numPr>
          <w:ilvl w:val="1"/>
          <w:numId w:val="14"/>
        </w:numPr>
        <w:spacing w:before="312" w:beforeLines="100" w:after="312" w:line="360" w:lineRule="auto"/>
        <w:ind w:left="493" w:hanging="493"/>
        <w:jc w:val="center"/>
      </w:pPr>
      <w:bookmarkStart w:id="37" w:name="_Toc5809722"/>
      <w:r>
        <w:rPr>
          <w:rFonts w:hint="eastAsia"/>
        </w:rPr>
        <w:t>固体废物处置</w:t>
      </w:r>
      <w:bookmarkEnd w:id="37"/>
    </w:p>
    <w:p>
      <w:pPr>
        <w:pStyle w:val="19"/>
        <w:numPr>
          <w:ilvl w:val="0"/>
          <w:numId w:val="42"/>
        </w:numPr>
        <w:spacing w:after="312"/>
        <w:ind w:left="0" w:firstLine="0" w:firstLineChars="0"/>
      </w:pPr>
      <w:r>
        <w:rPr>
          <w:rFonts w:hint="eastAsia"/>
        </w:rPr>
        <w:t>固体废物的处置应包括生活垃圾、建筑垃圾、生产废料的处置。</w:t>
      </w:r>
    </w:p>
    <w:p>
      <w:pPr>
        <w:pStyle w:val="19"/>
        <w:numPr>
          <w:ilvl w:val="0"/>
          <w:numId w:val="42"/>
        </w:numPr>
        <w:spacing w:after="312"/>
        <w:ind w:left="0" w:firstLine="0" w:firstLineChars="0"/>
      </w:pPr>
      <w:r>
        <w:rPr>
          <w:rFonts w:hint="eastAsia"/>
        </w:rPr>
        <w:t>施工人员生活垃圾填埋应执行《生活垃圾填埋污染控制标准》G</w:t>
      </w:r>
      <w:r>
        <w:t>B16889</w:t>
      </w:r>
      <w:r>
        <w:rPr>
          <w:rFonts w:hint="eastAsia"/>
        </w:rPr>
        <w:t>的规定。</w:t>
      </w:r>
    </w:p>
    <w:p>
      <w:pPr>
        <w:pStyle w:val="19"/>
        <w:numPr>
          <w:ilvl w:val="0"/>
          <w:numId w:val="42"/>
        </w:numPr>
        <w:spacing w:after="312"/>
        <w:ind w:left="0" w:firstLine="0" w:firstLineChars="0"/>
      </w:pPr>
      <w:r>
        <w:rPr>
          <w:rFonts w:hint="eastAsia"/>
        </w:rPr>
        <w:t>施工营地应设置垃圾箱或集中垃圾堆放点，生活垃圾应集中收集、专人定期清运。</w:t>
      </w:r>
    </w:p>
    <w:p>
      <w:pPr>
        <w:pStyle w:val="19"/>
        <w:numPr>
          <w:ilvl w:val="0"/>
          <w:numId w:val="42"/>
        </w:numPr>
        <w:spacing w:after="312"/>
        <w:ind w:left="0" w:firstLine="0" w:firstLineChars="0"/>
      </w:pPr>
      <w:r>
        <w:rPr>
          <w:rFonts w:hint="eastAsia"/>
        </w:rPr>
        <w:t>临时垃圾堆放场可利用天然洼地、沟壑、废坑等，应避开生活饮用水源、渔业用水水域，并防止垃圾进入河流、库、塘等天然水域。</w:t>
      </w:r>
    </w:p>
    <w:p>
      <w:pPr>
        <w:pStyle w:val="19"/>
        <w:numPr>
          <w:ilvl w:val="0"/>
          <w:numId w:val="42"/>
        </w:numPr>
        <w:spacing w:after="312"/>
        <w:ind w:left="0" w:firstLine="0" w:firstLineChars="0"/>
      </w:pPr>
      <w:r>
        <w:rPr>
          <w:rFonts w:hint="eastAsia"/>
        </w:rPr>
        <w:t>施工营地厕所，应制定专人定期清理或农用并四周消毒灭菌。</w:t>
      </w:r>
    </w:p>
    <w:p>
      <w:pPr>
        <w:pStyle w:val="19"/>
        <w:numPr>
          <w:ilvl w:val="0"/>
          <w:numId w:val="42"/>
        </w:numPr>
        <w:spacing w:after="312"/>
        <w:ind w:left="0" w:firstLine="0" w:firstLineChars="0"/>
      </w:pPr>
      <w:r>
        <w:rPr>
          <w:rFonts w:hint="eastAsia"/>
        </w:rPr>
        <w:t>建筑垃圾应进行分类，宜回收利用。不能利用的，应集中处置。危险固体废物必须执行国家有关危险废物处理的规定。</w:t>
      </w:r>
    </w:p>
    <w:p>
      <w:pPr>
        <w:pStyle w:val="3"/>
        <w:numPr>
          <w:ilvl w:val="1"/>
          <w:numId w:val="14"/>
        </w:numPr>
        <w:spacing w:before="312" w:beforeLines="100" w:after="312" w:line="360" w:lineRule="auto"/>
        <w:ind w:left="493" w:hanging="493"/>
        <w:jc w:val="center"/>
      </w:pPr>
      <w:bookmarkStart w:id="38" w:name="_Toc5809723"/>
      <w:r>
        <w:rPr>
          <w:rFonts w:hint="eastAsia"/>
        </w:rPr>
        <w:t>噪声控制</w:t>
      </w:r>
      <w:bookmarkEnd w:id="38"/>
    </w:p>
    <w:p>
      <w:pPr>
        <w:pStyle w:val="19"/>
        <w:numPr>
          <w:ilvl w:val="0"/>
          <w:numId w:val="43"/>
        </w:numPr>
        <w:spacing w:after="312"/>
        <w:ind w:left="0" w:firstLine="0" w:firstLineChars="0"/>
      </w:pPr>
      <w:r>
        <w:rPr>
          <w:rFonts w:hint="eastAsia"/>
        </w:rPr>
        <w:t>施工噪声控制应包括施工机械设备固定噪声、运输车辆流动噪声、爆破瞬时噪声控制。</w:t>
      </w:r>
    </w:p>
    <w:p>
      <w:pPr>
        <w:pStyle w:val="19"/>
        <w:numPr>
          <w:ilvl w:val="0"/>
          <w:numId w:val="43"/>
        </w:numPr>
        <w:spacing w:after="312"/>
        <w:ind w:left="0" w:firstLine="0" w:firstLineChars="0"/>
      </w:pPr>
      <w:r>
        <w:rPr>
          <w:rFonts w:hint="eastAsia"/>
        </w:rPr>
        <w:t>施工场界噪声应执行《建筑施工场界噪声限值》G</w:t>
      </w:r>
      <w:r>
        <w:t>B12523</w:t>
      </w:r>
      <w:r>
        <w:rPr>
          <w:rFonts w:hint="eastAsia"/>
        </w:rPr>
        <w:t>标准，区域环境噪声应执行《城市区域环境噪声标准》G</w:t>
      </w:r>
      <w:r>
        <w:t>B3096</w:t>
      </w:r>
      <w:r>
        <w:rPr>
          <w:rFonts w:hint="eastAsia"/>
        </w:rPr>
        <w:t>的规定。</w:t>
      </w:r>
    </w:p>
    <w:p>
      <w:pPr>
        <w:pStyle w:val="19"/>
        <w:numPr>
          <w:ilvl w:val="0"/>
          <w:numId w:val="43"/>
        </w:numPr>
        <w:spacing w:after="312"/>
        <w:ind w:left="0" w:firstLine="0" w:firstLineChars="0"/>
      </w:pPr>
      <w:r>
        <w:rPr>
          <w:rFonts w:hint="eastAsia"/>
        </w:rPr>
        <w:t>固定噪声的控制，应选用符合标准的设备和工艺，加强设备的维护和保养，减少运行时噪声。主要机械设备的布置应远离敏感点，并根据控制目标要求和保护对象，设置减噪、减振设施。</w:t>
      </w:r>
    </w:p>
    <w:p>
      <w:pPr>
        <w:spacing w:after="312"/>
      </w:pPr>
      <w:r>
        <w:rPr>
          <w:rFonts w:hint="eastAsia"/>
        </w:rPr>
        <w:t>7</w:t>
      </w:r>
      <w:r>
        <w:t xml:space="preserve">.5.4 </w:t>
      </w:r>
      <w:r>
        <w:rPr>
          <w:rFonts w:hint="eastAsia"/>
        </w:rPr>
        <w:t>流动噪声控制应加强交通道路的维护和管理。禁止使用高噪声车辆；在集中居民区、学校、医院等路段设禁止高声鸣笛标志，减缓车速，禁止夜间鸣放高音喇叭。</w:t>
      </w:r>
    </w:p>
    <w:p>
      <w:pPr>
        <w:pStyle w:val="19"/>
        <w:numPr>
          <w:ilvl w:val="0"/>
          <w:numId w:val="43"/>
        </w:numPr>
        <w:spacing w:after="312"/>
        <w:ind w:left="0" w:firstLine="0" w:firstLineChars="0"/>
      </w:pPr>
      <w:r>
        <w:rPr>
          <w:rFonts w:hint="eastAsia"/>
        </w:rPr>
        <w:t>工程爆破应采用低噪声爆破工艺，并避免夜间爆破。</w:t>
      </w:r>
    </w:p>
    <w:p>
      <w:pPr>
        <w:pStyle w:val="19"/>
        <w:numPr>
          <w:ilvl w:val="0"/>
          <w:numId w:val="43"/>
        </w:numPr>
        <w:spacing w:after="312"/>
        <w:ind w:left="0" w:firstLine="0" w:firstLineChars="0"/>
      </w:pPr>
      <w:r>
        <w:rPr>
          <w:rFonts w:hint="eastAsia"/>
        </w:rPr>
        <w:t>高噪声岗位施工作业人员，应执行国家有关劳动保护的规定。</w:t>
      </w:r>
    </w:p>
    <w:p>
      <w:pPr>
        <w:pStyle w:val="3"/>
        <w:numPr>
          <w:ilvl w:val="1"/>
          <w:numId w:val="14"/>
        </w:numPr>
        <w:spacing w:before="312" w:beforeLines="100" w:after="312" w:line="360" w:lineRule="auto"/>
        <w:ind w:left="493" w:hanging="493"/>
        <w:jc w:val="center"/>
      </w:pPr>
      <w:bookmarkStart w:id="39" w:name="_Toc5809724"/>
      <w:r>
        <w:rPr>
          <w:rFonts w:hint="eastAsia"/>
        </w:rPr>
        <w:t>水土流失防治</w:t>
      </w:r>
      <w:bookmarkEnd w:id="39"/>
    </w:p>
    <w:p>
      <w:pPr>
        <w:pStyle w:val="19"/>
        <w:numPr>
          <w:ilvl w:val="0"/>
          <w:numId w:val="44"/>
        </w:numPr>
        <w:spacing w:after="312"/>
        <w:ind w:left="0" w:firstLine="0" w:firstLineChars="0"/>
      </w:pPr>
      <w:r>
        <w:rPr>
          <w:rFonts w:hint="eastAsia"/>
        </w:rPr>
        <w:t>施工区水土流失防治应根据水土保持方案，落实各防治分区水土保持措施。</w:t>
      </w:r>
    </w:p>
    <w:p>
      <w:pPr>
        <w:pStyle w:val="19"/>
        <w:numPr>
          <w:ilvl w:val="0"/>
          <w:numId w:val="44"/>
        </w:numPr>
        <w:spacing w:after="312"/>
        <w:ind w:left="0" w:firstLine="0" w:firstLineChars="0"/>
      </w:pPr>
      <w:r>
        <w:rPr>
          <w:rFonts w:hint="eastAsia"/>
        </w:rPr>
        <w:t>施工场地应合理利用施工区内的土地，宜减少扰动原地貌和损毁植被。</w:t>
      </w:r>
    </w:p>
    <w:p>
      <w:pPr>
        <w:pStyle w:val="19"/>
        <w:numPr>
          <w:ilvl w:val="0"/>
          <w:numId w:val="44"/>
        </w:numPr>
        <w:spacing w:after="312"/>
        <w:ind w:left="0" w:firstLine="0" w:firstLineChars="0"/>
      </w:pPr>
      <w:r>
        <w:rPr>
          <w:rFonts w:hint="eastAsia"/>
        </w:rPr>
        <w:t>料场取料应按水土流失防治要求减少植被破坏，剥离的表层熟土，宜临时堆存作为回填覆土。取料结束应根据料场的形状、土壤条件和土地利用方式，及时进行土地平整，因地制宜恢复植被。</w:t>
      </w:r>
    </w:p>
    <w:p>
      <w:pPr>
        <w:pStyle w:val="19"/>
        <w:numPr>
          <w:ilvl w:val="0"/>
          <w:numId w:val="44"/>
        </w:numPr>
        <w:spacing w:after="312"/>
        <w:ind w:left="0" w:firstLine="0" w:firstLineChars="0"/>
      </w:pPr>
      <w:r>
        <w:rPr>
          <w:rFonts w:hint="eastAsia"/>
        </w:rPr>
        <w:t>弃渣应及时清运至指定渣场，不得随意倾倒，采用先挡后弃的施工工序，及时平整渣面、覆土。渣场应根据后弃土地利用方式，及时进行植被恢复或作其他用地。</w:t>
      </w:r>
    </w:p>
    <w:p>
      <w:pPr>
        <w:pStyle w:val="19"/>
        <w:numPr>
          <w:ilvl w:val="0"/>
          <w:numId w:val="44"/>
        </w:numPr>
        <w:spacing w:after="312"/>
        <w:ind w:left="0" w:firstLine="0" w:firstLineChars="0"/>
      </w:pPr>
      <w:r>
        <w:rPr>
          <w:rFonts w:hint="eastAsia"/>
        </w:rPr>
        <w:t>施工道路应及时排水、护坡，永久道路宜及时栽种行道树。</w:t>
      </w:r>
    </w:p>
    <w:p>
      <w:pPr>
        <w:pStyle w:val="19"/>
        <w:numPr>
          <w:ilvl w:val="0"/>
          <w:numId w:val="44"/>
        </w:numPr>
        <w:spacing w:after="312"/>
        <w:ind w:left="0" w:firstLine="0" w:firstLineChars="0"/>
      </w:pPr>
      <w:r>
        <w:rPr>
          <w:rFonts w:hint="eastAsia"/>
        </w:rPr>
        <w:t>施工便道、取土场在工程施工完毕后，及时按设计要求整修、复耕、恢复植被。</w:t>
      </w:r>
    </w:p>
    <w:p>
      <w:pPr>
        <w:pStyle w:val="3"/>
        <w:numPr>
          <w:ilvl w:val="1"/>
          <w:numId w:val="14"/>
        </w:numPr>
        <w:spacing w:before="312" w:beforeLines="100" w:after="312" w:line="360" w:lineRule="auto"/>
        <w:ind w:left="493" w:hanging="493"/>
        <w:jc w:val="center"/>
      </w:pPr>
      <w:bookmarkStart w:id="40" w:name="_Toc5809725"/>
      <w:r>
        <w:rPr>
          <w:rFonts w:hint="eastAsia"/>
        </w:rPr>
        <w:t>景观及视觉保护</w:t>
      </w:r>
      <w:bookmarkEnd w:id="40"/>
    </w:p>
    <w:p>
      <w:pPr>
        <w:pStyle w:val="19"/>
        <w:numPr>
          <w:ilvl w:val="0"/>
          <w:numId w:val="45"/>
        </w:numPr>
        <w:spacing w:after="312"/>
        <w:ind w:left="0" w:firstLine="0" w:firstLineChars="0"/>
      </w:pPr>
      <w:r>
        <w:rPr>
          <w:rFonts w:hint="eastAsia"/>
        </w:rPr>
        <w:t>精密布置，精心施工，尽量减少林地、草地的损失。</w:t>
      </w:r>
    </w:p>
    <w:p>
      <w:pPr>
        <w:pStyle w:val="19"/>
        <w:numPr>
          <w:ilvl w:val="0"/>
          <w:numId w:val="45"/>
        </w:numPr>
        <w:spacing w:after="312"/>
        <w:ind w:left="0" w:firstLine="0" w:firstLineChars="0"/>
      </w:pPr>
      <w:r>
        <w:rPr>
          <w:rFonts w:hint="eastAsia"/>
        </w:rPr>
        <w:t>临时住房、仓库、厂房等营区建设，在设计及建造时，考虑美观、绿化，并与周为环境相协调。</w:t>
      </w:r>
    </w:p>
    <w:p>
      <w:pPr>
        <w:pStyle w:val="19"/>
        <w:numPr>
          <w:ilvl w:val="0"/>
          <w:numId w:val="45"/>
        </w:numPr>
        <w:spacing w:after="312"/>
        <w:ind w:left="0" w:firstLine="0" w:firstLineChars="0"/>
      </w:pPr>
      <w:r>
        <w:rPr>
          <w:rFonts w:hint="eastAsia"/>
        </w:rPr>
        <w:t>各种临时停放的机械车辆停放整齐有序。</w:t>
      </w:r>
    </w:p>
    <w:p>
      <w:pPr>
        <w:pStyle w:val="19"/>
        <w:numPr>
          <w:ilvl w:val="0"/>
          <w:numId w:val="45"/>
        </w:numPr>
        <w:spacing w:after="312"/>
        <w:ind w:left="0" w:firstLine="0" w:firstLineChars="0"/>
      </w:pPr>
      <w:r>
        <w:rPr>
          <w:rFonts w:hint="eastAsia"/>
        </w:rPr>
        <w:t>在每个施工区和工程完成后，及时拆除临建设施，恢复植被或其本来用途。绿化景观应与周边环境相协调。</w:t>
      </w:r>
    </w:p>
    <w:p>
      <w:pPr>
        <w:spacing w:after="312"/>
        <w:sectPr>
          <w:pgSz w:w="11906" w:h="16838"/>
          <w:pgMar w:top="1440" w:right="1800" w:bottom="1440" w:left="1800" w:header="851" w:footer="992" w:gutter="0"/>
          <w:cols w:space="425" w:num="1"/>
          <w:docGrid w:type="lines" w:linePitch="312" w:charSpace="0"/>
        </w:sectPr>
      </w:pPr>
    </w:p>
    <w:p>
      <w:pPr>
        <w:pStyle w:val="2"/>
        <w:spacing w:after="312"/>
      </w:pPr>
      <w:bookmarkStart w:id="41" w:name="_Toc499642889"/>
      <w:bookmarkStart w:id="42" w:name="_Toc520454372"/>
      <w:bookmarkStart w:id="43" w:name="_Toc499632142"/>
      <w:bookmarkStart w:id="44" w:name="_Toc5809726"/>
      <w:r>
        <w:rPr>
          <w:rFonts w:hint="eastAsia"/>
        </w:rPr>
        <w:t>导则用词说明</w:t>
      </w:r>
      <w:bookmarkEnd w:id="41"/>
      <w:bookmarkEnd w:id="42"/>
      <w:bookmarkEnd w:id="43"/>
      <w:bookmarkEnd w:id="44"/>
    </w:p>
    <w:p>
      <w:pPr>
        <w:pStyle w:val="6"/>
        <w:spacing w:afterLines="0"/>
        <w:ind w:firstLine="482" w:firstLineChars="200"/>
        <w:rPr>
          <w:rFonts w:ascii="Times New Roman" w:hAnsi="Times New Roman"/>
        </w:rPr>
      </w:pPr>
      <w:r>
        <w:rPr>
          <w:rFonts w:ascii="Times New Roman" w:hAnsi="Times New Roman"/>
          <w:b/>
        </w:rPr>
        <w:t xml:space="preserve">1 </w:t>
      </w:r>
      <w:r>
        <w:rPr>
          <w:rFonts w:hint="eastAsia" w:ascii="Times New Roman" w:hAnsi="Times New Roman"/>
        </w:rPr>
        <w:t>为了便于在执行本导则条文时区别对待，对要求严格程度不同的用词说明如下：</w:t>
      </w:r>
      <w:r>
        <w:rPr>
          <w:rFonts w:ascii="Times New Roman" w:hAnsi="Times New Roman"/>
        </w:rPr>
        <w:tab/>
      </w:r>
    </w:p>
    <w:p>
      <w:pPr>
        <w:pStyle w:val="6"/>
        <w:spacing w:afterLines="0"/>
        <w:ind w:firstLine="720" w:firstLineChars="300"/>
        <w:rPr>
          <w:rFonts w:ascii="Times New Roman" w:hAnsi="Times New Roman"/>
        </w:rPr>
      </w:pPr>
      <w:r>
        <w:rPr>
          <w:rFonts w:ascii="Times New Roman" w:hAnsi="Times New Roman"/>
        </w:rPr>
        <w:t>1</w:t>
      </w:r>
      <w:r>
        <w:rPr>
          <w:rFonts w:hint="eastAsia" w:ascii="Times New Roman" w:hAnsi="Times New Roman"/>
        </w:rPr>
        <w:t>）表示很严格，非这样做不可的：正面词采用</w:t>
      </w:r>
      <w:r>
        <w:rPr>
          <w:rFonts w:ascii="Times New Roman" w:hAnsi="Times New Roman"/>
        </w:rPr>
        <w:t>“</w:t>
      </w:r>
      <w:r>
        <w:rPr>
          <w:rFonts w:hint="eastAsia" w:ascii="Times New Roman" w:hAnsi="Times New Roman"/>
        </w:rPr>
        <w:t>必须</w:t>
      </w:r>
      <w:r>
        <w:rPr>
          <w:rFonts w:ascii="Times New Roman" w:hAnsi="Times New Roman"/>
        </w:rPr>
        <w:t>”</w:t>
      </w:r>
      <w:r>
        <w:rPr>
          <w:rFonts w:hint="eastAsia" w:ascii="Times New Roman" w:hAnsi="Times New Roman"/>
        </w:rPr>
        <w:t>；反面词采用</w:t>
      </w:r>
      <w:r>
        <w:rPr>
          <w:rFonts w:ascii="Times New Roman" w:hAnsi="Times New Roman"/>
        </w:rPr>
        <w:t>“</w:t>
      </w:r>
      <w:r>
        <w:rPr>
          <w:rFonts w:hint="eastAsia" w:ascii="Times New Roman" w:hAnsi="Times New Roman"/>
        </w:rPr>
        <w:t>严禁</w:t>
      </w:r>
      <w:r>
        <w:rPr>
          <w:rFonts w:ascii="Times New Roman" w:hAnsi="Times New Roman"/>
        </w:rPr>
        <w:t>”</w:t>
      </w:r>
      <w:r>
        <w:rPr>
          <w:rFonts w:hint="eastAsia" w:ascii="Times New Roman" w:hAnsi="Times New Roman"/>
        </w:rPr>
        <w:t>。</w:t>
      </w:r>
    </w:p>
    <w:p>
      <w:pPr>
        <w:pStyle w:val="6"/>
        <w:spacing w:afterLines="0"/>
        <w:ind w:firstLine="720" w:firstLineChars="300"/>
        <w:rPr>
          <w:rFonts w:ascii="Times New Roman" w:hAnsi="Times New Roman"/>
        </w:rPr>
      </w:pPr>
      <w:r>
        <w:rPr>
          <w:rFonts w:ascii="Times New Roman" w:hAnsi="Times New Roman"/>
        </w:rPr>
        <w:t>2</w:t>
      </w:r>
      <w:r>
        <w:rPr>
          <w:rFonts w:hint="eastAsia" w:ascii="Times New Roman" w:hAnsi="Times New Roman"/>
        </w:rPr>
        <w:t>）表示严格，在正常情况下均应这样做的：</w:t>
      </w:r>
    </w:p>
    <w:p>
      <w:pPr>
        <w:pStyle w:val="6"/>
        <w:spacing w:afterLines="0"/>
        <w:ind w:firstLine="1080" w:firstLineChars="450"/>
        <w:rPr>
          <w:rFonts w:ascii="Times New Roman" w:hAnsi="Times New Roman"/>
          <w:b/>
        </w:rPr>
      </w:pPr>
      <w:r>
        <w:rPr>
          <w:rFonts w:hint="eastAsia" w:ascii="Times New Roman" w:hAnsi="Times New Roman"/>
        </w:rPr>
        <w:t>正面词采用</w:t>
      </w:r>
      <w:r>
        <w:rPr>
          <w:rFonts w:ascii="Times New Roman" w:hAnsi="Times New Roman"/>
        </w:rPr>
        <w:t>“</w:t>
      </w:r>
      <w:r>
        <w:rPr>
          <w:rFonts w:hint="eastAsia" w:ascii="Times New Roman" w:hAnsi="Times New Roman"/>
        </w:rPr>
        <w:t>应</w:t>
      </w:r>
      <w:r>
        <w:rPr>
          <w:rFonts w:ascii="Times New Roman" w:hAnsi="Times New Roman"/>
        </w:rPr>
        <w:t>”</w:t>
      </w:r>
      <w:r>
        <w:rPr>
          <w:rFonts w:hint="eastAsia" w:ascii="Times New Roman" w:hAnsi="Times New Roman"/>
        </w:rPr>
        <w:t>；反面词采用</w:t>
      </w:r>
      <w:r>
        <w:rPr>
          <w:rFonts w:ascii="Times New Roman" w:hAnsi="Times New Roman"/>
        </w:rPr>
        <w:t>“</w:t>
      </w:r>
      <w:r>
        <w:rPr>
          <w:rFonts w:hint="eastAsia" w:ascii="Times New Roman" w:hAnsi="Times New Roman"/>
        </w:rPr>
        <w:t>不应</w:t>
      </w:r>
      <w:r>
        <w:rPr>
          <w:rFonts w:ascii="Times New Roman" w:hAnsi="Times New Roman"/>
        </w:rPr>
        <w:t>”</w:t>
      </w:r>
      <w:r>
        <w:rPr>
          <w:rFonts w:hint="eastAsia" w:ascii="Times New Roman" w:hAnsi="Times New Roman"/>
        </w:rPr>
        <w:t>或</w:t>
      </w:r>
      <w:r>
        <w:rPr>
          <w:rFonts w:ascii="Times New Roman" w:hAnsi="Times New Roman"/>
        </w:rPr>
        <w:t>“</w:t>
      </w:r>
      <w:r>
        <w:rPr>
          <w:rFonts w:hint="eastAsia" w:ascii="Times New Roman" w:hAnsi="Times New Roman"/>
        </w:rPr>
        <w:t>不得</w:t>
      </w:r>
      <w:r>
        <w:rPr>
          <w:rFonts w:ascii="Times New Roman" w:hAnsi="Times New Roman"/>
        </w:rPr>
        <w:t>”</w:t>
      </w:r>
      <w:r>
        <w:rPr>
          <w:rFonts w:hint="eastAsia" w:ascii="Times New Roman" w:hAnsi="Times New Roman"/>
        </w:rPr>
        <w:t>。</w:t>
      </w:r>
    </w:p>
    <w:p>
      <w:pPr>
        <w:pStyle w:val="6"/>
        <w:spacing w:afterLines="0"/>
        <w:ind w:firstLine="720" w:firstLineChars="300"/>
        <w:rPr>
          <w:rFonts w:ascii="Times New Roman" w:hAnsi="Times New Roman"/>
        </w:rPr>
      </w:pPr>
      <w:r>
        <w:rPr>
          <w:rFonts w:ascii="Times New Roman" w:hAnsi="Times New Roman"/>
        </w:rPr>
        <w:t>3</w:t>
      </w:r>
      <w:r>
        <w:rPr>
          <w:rFonts w:hint="eastAsia" w:ascii="Times New Roman" w:hAnsi="Times New Roman"/>
        </w:rPr>
        <w:t>）表示允许稍有选择，在条件许可时首先这样做的：</w:t>
      </w:r>
    </w:p>
    <w:p>
      <w:pPr>
        <w:pStyle w:val="6"/>
        <w:spacing w:afterLines="0"/>
        <w:ind w:firstLine="1080" w:firstLineChars="450"/>
        <w:rPr>
          <w:rFonts w:ascii="Times New Roman" w:hAnsi="Times New Roman"/>
        </w:rPr>
      </w:pPr>
      <w:r>
        <w:rPr>
          <w:rFonts w:hint="eastAsia" w:ascii="Times New Roman" w:hAnsi="Times New Roman"/>
        </w:rPr>
        <w:t>正面词采用</w:t>
      </w:r>
      <w:r>
        <w:rPr>
          <w:rFonts w:ascii="Times New Roman" w:hAnsi="Times New Roman"/>
        </w:rPr>
        <w:t>“</w:t>
      </w:r>
      <w:r>
        <w:rPr>
          <w:rFonts w:hint="eastAsia" w:ascii="Times New Roman" w:hAnsi="Times New Roman"/>
        </w:rPr>
        <w:t>宜</w:t>
      </w:r>
      <w:r>
        <w:rPr>
          <w:rFonts w:ascii="Times New Roman" w:hAnsi="Times New Roman"/>
        </w:rPr>
        <w:t>”</w:t>
      </w:r>
      <w:r>
        <w:rPr>
          <w:rFonts w:hint="eastAsia" w:ascii="Times New Roman" w:hAnsi="Times New Roman"/>
        </w:rPr>
        <w:t>；反面词采用</w:t>
      </w:r>
      <w:r>
        <w:rPr>
          <w:rFonts w:ascii="Times New Roman" w:hAnsi="Times New Roman"/>
        </w:rPr>
        <w:t>“</w:t>
      </w:r>
      <w:r>
        <w:rPr>
          <w:rFonts w:hint="eastAsia" w:ascii="Times New Roman" w:hAnsi="Times New Roman"/>
        </w:rPr>
        <w:t>不宜</w:t>
      </w:r>
      <w:r>
        <w:rPr>
          <w:rFonts w:ascii="Times New Roman" w:hAnsi="Times New Roman"/>
        </w:rPr>
        <w:t>”</w:t>
      </w:r>
      <w:r>
        <w:rPr>
          <w:rFonts w:hint="eastAsia" w:ascii="Times New Roman" w:hAnsi="Times New Roman"/>
        </w:rPr>
        <w:t>；</w:t>
      </w:r>
    </w:p>
    <w:p>
      <w:pPr>
        <w:pStyle w:val="6"/>
        <w:spacing w:afterLines="0"/>
        <w:ind w:firstLine="720" w:firstLineChars="300"/>
        <w:rPr>
          <w:rFonts w:ascii="Times New Roman" w:hAnsi="Times New Roman"/>
        </w:rPr>
      </w:pPr>
      <w:r>
        <w:rPr>
          <w:rFonts w:ascii="Times New Roman" w:hAnsi="Times New Roman"/>
        </w:rPr>
        <w:t>4</w:t>
      </w:r>
      <w:r>
        <w:rPr>
          <w:rFonts w:hint="eastAsia" w:ascii="Times New Roman" w:hAnsi="Times New Roman"/>
        </w:rPr>
        <w:t>）表示有选择，在一定条件下可以这样做的，采用</w:t>
      </w:r>
      <w:r>
        <w:rPr>
          <w:rFonts w:ascii="Times New Roman" w:hAnsi="Times New Roman"/>
        </w:rPr>
        <w:t>“</w:t>
      </w:r>
      <w:r>
        <w:rPr>
          <w:rFonts w:hint="eastAsia" w:ascii="Times New Roman" w:hAnsi="Times New Roman"/>
        </w:rPr>
        <w:t>可</w:t>
      </w:r>
      <w:r>
        <w:rPr>
          <w:rFonts w:ascii="Times New Roman" w:hAnsi="Times New Roman"/>
        </w:rPr>
        <w:t>”</w:t>
      </w:r>
      <w:r>
        <w:rPr>
          <w:rFonts w:hint="eastAsia" w:ascii="Times New Roman" w:hAnsi="Times New Roman"/>
        </w:rPr>
        <w:t>。</w:t>
      </w:r>
    </w:p>
    <w:p>
      <w:pPr>
        <w:pStyle w:val="6"/>
        <w:spacing w:afterLines="0"/>
        <w:ind w:firstLine="482" w:firstLineChars="200"/>
        <w:rPr>
          <w:rFonts w:ascii="Times New Roman" w:hAnsi="Times New Roman"/>
        </w:rPr>
      </w:pPr>
      <w:r>
        <w:rPr>
          <w:rFonts w:ascii="Times New Roman" w:hAnsi="Times New Roman"/>
          <w:b/>
        </w:rPr>
        <w:t xml:space="preserve">2 </w:t>
      </w:r>
      <w:r>
        <w:rPr>
          <w:rFonts w:hint="eastAsia" w:ascii="Times New Roman" w:hAnsi="Times New Roman"/>
        </w:rPr>
        <w:t>条文中指明应按其它有关标准、规范执行的写法为：</w:t>
      </w:r>
      <w:r>
        <w:rPr>
          <w:rFonts w:ascii="Times New Roman" w:hAnsi="Times New Roman"/>
        </w:rPr>
        <w:t>“</w:t>
      </w:r>
      <w:r>
        <w:rPr>
          <w:rFonts w:hint="eastAsia" w:ascii="Times New Roman" w:hAnsi="Times New Roman"/>
        </w:rPr>
        <w:t>应符合</w:t>
      </w:r>
      <w:r>
        <w:rPr>
          <w:rFonts w:ascii="Times New Roman" w:hAnsi="Times New Roman"/>
        </w:rPr>
        <w:t>……</w:t>
      </w:r>
      <w:r>
        <w:rPr>
          <w:rFonts w:hint="eastAsia" w:ascii="Times New Roman" w:hAnsi="Times New Roman"/>
        </w:rPr>
        <w:t>的规定</w:t>
      </w:r>
      <w:r>
        <w:rPr>
          <w:rFonts w:ascii="Times New Roman" w:hAnsi="Times New Roman"/>
        </w:rPr>
        <w:t>”</w:t>
      </w:r>
      <w:r>
        <w:rPr>
          <w:rFonts w:hint="eastAsia" w:ascii="Times New Roman" w:hAnsi="Times New Roman"/>
        </w:rPr>
        <w:t>或</w:t>
      </w:r>
      <w:r>
        <w:rPr>
          <w:rFonts w:ascii="Times New Roman" w:hAnsi="Times New Roman"/>
        </w:rPr>
        <w:t>“</w:t>
      </w:r>
      <w:r>
        <w:rPr>
          <w:rFonts w:hint="eastAsia" w:ascii="Times New Roman" w:hAnsi="Times New Roman"/>
        </w:rPr>
        <w:t>应按</w:t>
      </w:r>
      <w:r>
        <w:rPr>
          <w:rFonts w:ascii="Times New Roman" w:hAnsi="Times New Roman"/>
        </w:rPr>
        <w:t>……</w:t>
      </w:r>
      <w:r>
        <w:rPr>
          <w:rFonts w:hint="eastAsia" w:ascii="Times New Roman" w:hAnsi="Times New Roman"/>
        </w:rPr>
        <w:t>执行</w:t>
      </w:r>
      <w:r>
        <w:rPr>
          <w:rFonts w:ascii="Times New Roman" w:hAnsi="Times New Roman"/>
        </w:rPr>
        <w:t>”</w:t>
      </w:r>
      <w:r>
        <w:rPr>
          <w:rFonts w:hint="eastAsia" w:ascii="Times New Roman" w:hAnsi="Times New Roman"/>
        </w:rPr>
        <w:t>。</w:t>
      </w:r>
    </w:p>
    <w:p>
      <w:pPr>
        <w:spacing w:after="312"/>
      </w:pPr>
    </w:p>
    <w:p>
      <w:pPr>
        <w:spacing w:after="312"/>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24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8004308"/>
      <w:docPartObj>
        <w:docPartGallery w:val="autotext"/>
      </w:docPartObj>
    </w:sdtPr>
    <w:sdtContent>
      <w:p>
        <w:pPr>
          <w:pStyle w:val="9"/>
          <w:spacing w:after="240"/>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7026119"/>
      <w:docPartObj>
        <w:docPartGallery w:val="autotext"/>
      </w:docPartObj>
    </w:sdtPr>
    <w:sdtContent>
      <w:p>
        <w:pPr>
          <w:pStyle w:val="9"/>
          <w:spacing w:after="240"/>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072"/>
    <w:multiLevelType w:val="multilevel"/>
    <w:tmpl w:val="06603072"/>
    <w:lvl w:ilvl="0" w:tentative="0">
      <w:start w:val="1"/>
      <w:numFmt w:val="decimal"/>
      <w:lvlText w:val="7.6.%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1">
    <w:nsid w:val="09FF2B97"/>
    <w:multiLevelType w:val="multilevel"/>
    <w:tmpl w:val="09FF2B97"/>
    <w:lvl w:ilvl="0" w:tentative="0">
      <w:start w:val="1"/>
      <w:numFmt w:val="decimal"/>
      <w:lvlText w:val="6.2.%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2">
    <w:nsid w:val="0FD63847"/>
    <w:multiLevelType w:val="multilevel"/>
    <w:tmpl w:val="0FD63847"/>
    <w:lvl w:ilvl="0" w:tentative="0">
      <w:start w:val="1"/>
      <w:numFmt w:val="decimal"/>
      <w:lvlText w:val="%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11C86005"/>
    <w:multiLevelType w:val="multilevel"/>
    <w:tmpl w:val="11C86005"/>
    <w:lvl w:ilvl="0" w:tentative="0">
      <w:start w:val="1"/>
      <w:numFmt w:val="decimal"/>
      <w:lvlText w:val="6.3.%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4">
    <w:nsid w:val="11FE6BB4"/>
    <w:multiLevelType w:val="multilevel"/>
    <w:tmpl w:val="11FE6BB4"/>
    <w:lvl w:ilvl="0" w:tentative="0">
      <w:start w:val="1"/>
      <w:numFmt w:val="decimal"/>
      <w:lvlText w:val="%1"/>
      <w:lvlJc w:val="left"/>
      <w:pPr>
        <w:ind w:left="4956"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1580037B"/>
    <w:multiLevelType w:val="multilevel"/>
    <w:tmpl w:val="1580037B"/>
    <w:lvl w:ilvl="0" w:tentative="0">
      <w:start w:val="1"/>
      <w:numFmt w:val="decimal"/>
      <w:lvlText w:val="5.3.%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6">
    <w:nsid w:val="15E51A2B"/>
    <w:multiLevelType w:val="multilevel"/>
    <w:tmpl w:val="15E51A2B"/>
    <w:lvl w:ilvl="0" w:tentative="0">
      <w:start w:val="1"/>
      <w:numFmt w:val="decimal"/>
      <w:lvlText w:val="7.3.%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7">
    <w:nsid w:val="1B66431A"/>
    <w:multiLevelType w:val="multilevel"/>
    <w:tmpl w:val="1B66431A"/>
    <w:lvl w:ilvl="0" w:tentative="0">
      <w:start w:val="1"/>
      <w:numFmt w:val="decimal"/>
      <w:lvlText w:val="%1"/>
      <w:lvlJc w:val="left"/>
      <w:pPr>
        <w:ind w:left="900" w:hanging="420"/>
      </w:pPr>
      <w:rPr>
        <w:rFonts w:hint="eastAsia"/>
        <w:b/>
        <w:i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CF05D9C"/>
    <w:multiLevelType w:val="multilevel"/>
    <w:tmpl w:val="1CF05D9C"/>
    <w:lvl w:ilvl="0" w:tentative="0">
      <w:start w:val="1"/>
      <w:numFmt w:val="decimal"/>
      <w:lvlText w:val="%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9">
    <w:nsid w:val="1E73672D"/>
    <w:multiLevelType w:val="multilevel"/>
    <w:tmpl w:val="1E73672D"/>
    <w:lvl w:ilvl="0" w:tentative="0">
      <w:start w:val="1"/>
      <w:numFmt w:val="decimal"/>
      <w:lvlText w:val="5.2.%1"/>
      <w:lvlJc w:val="left"/>
      <w:pPr>
        <w:ind w:left="900" w:hanging="420"/>
      </w:pPr>
      <w:rPr>
        <w:rFonts w:hint="eastAsia"/>
        <w:b/>
        <w:i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05D4F88"/>
    <w:multiLevelType w:val="multilevel"/>
    <w:tmpl w:val="205D4F88"/>
    <w:lvl w:ilvl="0" w:tentative="0">
      <w:start w:val="1"/>
      <w:numFmt w:val="decimal"/>
      <w:lvlText w:val="4.0.%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AB34F54"/>
    <w:multiLevelType w:val="multilevel"/>
    <w:tmpl w:val="2AB34F54"/>
    <w:lvl w:ilvl="0" w:tentative="0">
      <w:start w:val="1"/>
      <w:numFmt w:val="decimal"/>
      <w:pStyle w:val="2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2">
    <w:nsid w:val="2EE71F66"/>
    <w:multiLevelType w:val="multilevel"/>
    <w:tmpl w:val="2EE71F66"/>
    <w:lvl w:ilvl="0" w:tentative="0">
      <w:start w:val="1"/>
      <w:numFmt w:val="decimal"/>
      <w:lvlText w:val="%1"/>
      <w:lvlJc w:val="left"/>
      <w:pPr>
        <w:ind w:left="4815" w:hanging="420"/>
      </w:pPr>
      <w:rPr>
        <w:rFonts w:hint="eastAsia"/>
        <w:b/>
      </w:rPr>
    </w:lvl>
    <w:lvl w:ilvl="1" w:tentative="0">
      <w:start w:val="8"/>
      <w:numFmt w:val="decimal"/>
      <w:isLgl/>
      <w:lvlText w:val="%1.%2"/>
      <w:lvlJc w:val="left"/>
      <w:pPr>
        <w:ind w:left="4875" w:hanging="480"/>
      </w:pPr>
      <w:rPr>
        <w:rFonts w:hint="default"/>
      </w:rPr>
    </w:lvl>
    <w:lvl w:ilvl="2" w:tentative="0">
      <w:start w:val="1"/>
      <w:numFmt w:val="decimal"/>
      <w:isLgl/>
      <w:lvlText w:val="%1.%2.%3"/>
      <w:lvlJc w:val="left"/>
      <w:pPr>
        <w:ind w:left="5115" w:hanging="720"/>
      </w:pPr>
      <w:rPr>
        <w:rFonts w:hint="default"/>
        <w:b/>
      </w:rPr>
    </w:lvl>
    <w:lvl w:ilvl="3" w:tentative="0">
      <w:start w:val="1"/>
      <w:numFmt w:val="decimal"/>
      <w:isLgl/>
      <w:lvlText w:val="%1.%2.%3.%4"/>
      <w:lvlJc w:val="left"/>
      <w:pPr>
        <w:ind w:left="5115" w:hanging="720"/>
      </w:pPr>
      <w:rPr>
        <w:rFonts w:hint="default"/>
      </w:rPr>
    </w:lvl>
    <w:lvl w:ilvl="4" w:tentative="0">
      <w:start w:val="1"/>
      <w:numFmt w:val="decimal"/>
      <w:isLgl/>
      <w:lvlText w:val="%1.%2.%3.%4.%5"/>
      <w:lvlJc w:val="left"/>
      <w:pPr>
        <w:ind w:left="5475" w:hanging="1080"/>
      </w:pPr>
      <w:rPr>
        <w:rFonts w:hint="default"/>
      </w:rPr>
    </w:lvl>
    <w:lvl w:ilvl="5" w:tentative="0">
      <w:start w:val="1"/>
      <w:numFmt w:val="decimal"/>
      <w:isLgl/>
      <w:lvlText w:val="%1.%2.%3.%4.%5.%6"/>
      <w:lvlJc w:val="left"/>
      <w:pPr>
        <w:ind w:left="5475" w:hanging="1080"/>
      </w:pPr>
      <w:rPr>
        <w:rFonts w:hint="default"/>
      </w:rPr>
    </w:lvl>
    <w:lvl w:ilvl="6" w:tentative="0">
      <w:start w:val="1"/>
      <w:numFmt w:val="decimal"/>
      <w:isLgl/>
      <w:lvlText w:val="%1.%2.%3.%4.%5.%6.%7"/>
      <w:lvlJc w:val="left"/>
      <w:pPr>
        <w:ind w:left="5835" w:hanging="1440"/>
      </w:pPr>
      <w:rPr>
        <w:rFonts w:hint="default"/>
      </w:rPr>
    </w:lvl>
    <w:lvl w:ilvl="7" w:tentative="0">
      <w:start w:val="1"/>
      <w:numFmt w:val="decimal"/>
      <w:isLgl/>
      <w:lvlText w:val="%1.%2.%3.%4.%5.%6.%7.%8"/>
      <w:lvlJc w:val="left"/>
      <w:pPr>
        <w:ind w:left="5835" w:hanging="1440"/>
      </w:pPr>
      <w:rPr>
        <w:rFonts w:hint="default"/>
      </w:rPr>
    </w:lvl>
    <w:lvl w:ilvl="8" w:tentative="0">
      <w:start w:val="1"/>
      <w:numFmt w:val="decimal"/>
      <w:isLgl/>
      <w:lvlText w:val="%1.%2.%3.%4.%5.%6.%7.%8.%9"/>
      <w:lvlJc w:val="left"/>
      <w:pPr>
        <w:ind w:left="6195" w:hanging="1800"/>
      </w:pPr>
      <w:rPr>
        <w:rFonts w:hint="default"/>
      </w:rPr>
    </w:lvl>
  </w:abstractNum>
  <w:abstractNum w:abstractNumId="13">
    <w:nsid w:val="342B2010"/>
    <w:multiLevelType w:val="multilevel"/>
    <w:tmpl w:val="342B2010"/>
    <w:lvl w:ilvl="0" w:tentative="0">
      <w:start w:val="1"/>
      <w:numFmt w:val="decimal"/>
      <w:lvlText w:val="%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14">
    <w:nsid w:val="35C57E67"/>
    <w:multiLevelType w:val="multilevel"/>
    <w:tmpl w:val="35C57E67"/>
    <w:lvl w:ilvl="0" w:tentative="0">
      <w:start w:val="1"/>
      <w:numFmt w:val="decimal"/>
      <w:lvlText w:val="%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5">
    <w:nsid w:val="360C3611"/>
    <w:multiLevelType w:val="multilevel"/>
    <w:tmpl w:val="360C3611"/>
    <w:lvl w:ilvl="0" w:tentative="0">
      <w:start w:val="1"/>
      <w:numFmt w:val="decimal"/>
      <w:lvlText w:val="%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16">
    <w:nsid w:val="38BF3F8E"/>
    <w:multiLevelType w:val="multilevel"/>
    <w:tmpl w:val="38BF3F8E"/>
    <w:lvl w:ilvl="0" w:tentative="0">
      <w:start w:val="1"/>
      <w:numFmt w:val="decimal"/>
      <w:lvlText w:val="%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7">
    <w:nsid w:val="392628EB"/>
    <w:multiLevelType w:val="multilevel"/>
    <w:tmpl w:val="392628EB"/>
    <w:lvl w:ilvl="0" w:tentative="0">
      <w:start w:val="1"/>
      <w:numFmt w:val="decimal"/>
      <w:lvlText w:val="6.4.%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18">
    <w:nsid w:val="39744E96"/>
    <w:multiLevelType w:val="multilevel"/>
    <w:tmpl w:val="39744E96"/>
    <w:lvl w:ilvl="0" w:tentative="0">
      <w:start w:val="1"/>
      <w:numFmt w:val="decimal"/>
      <w:lvlText w:val="7.7.%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19">
    <w:nsid w:val="3BE0498D"/>
    <w:multiLevelType w:val="multilevel"/>
    <w:tmpl w:val="3BE0498D"/>
    <w:lvl w:ilvl="0" w:tentative="0">
      <w:start w:val="1"/>
      <w:numFmt w:val="decimal"/>
      <w:lvlText w:val="%1"/>
      <w:lvlJc w:val="left"/>
      <w:pPr>
        <w:ind w:left="4815" w:hanging="420"/>
      </w:pPr>
      <w:rPr>
        <w:rFonts w:hint="eastAsia"/>
        <w:b/>
      </w:rPr>
    </w:lvl>
    <w:lvl w:ilvl="1" w:tentative="0">
      <w:start w:val="1"/>
      <w:numFmt w:val="lowerLetter"/>
      <w:lvlText w:val="%2)"/>
      <w:lvlJc w:val="left"/>
      <w:pPr>
        <w:ind w:left="5235" w:hanging="420"/>
      </w:pPr>
    </w:lvl>
    <w:lvl w:ilvl="2" w:tentative="0">
      <w:start w:val="1"/>
      <w:numFmt w:val="lowerRoman"/>
      <w:lvlText w:val="%3."/>
      <w:lvlJc w:val="right"/>
      <w:pPr>
        <w:ind w:left="5655" w:hanging="420"/>
      </w:pPr>
    </w:lvl>
    <w:lvl w:ilvl="3" w:tentative="0">
      <w:start w:val="1"/>
      <w:numFmt w:val="decimal"/>
      <w:lvlText w:val="%4."/>
      <w:lvlJc w:val="left"/>
      <w:pPr>
        <w:ind w:left="6075" w:hanging="420"/>
      </w:pPr>
    </w:lvl>
    <w:lvl w:ilvl="4" w:tentative="0">
      <w:start w:val="1"/>
      <w:numFmt w:val="lowerLetter"/>
      <w:lvlText w:val="%5)"/>
      <w:lvlJc w:val="left"/>
      <w:pPr>
        <w:ind w:left="6495" w:hanging="420"/>
      </w:pPr>
    </w:lvl>
    <w:lvl w:ilvl="5" w:tentative="0">
      <w:start w:val="1"/>
      <w:numFmt w:val="lowerRoman"/>
      <w:lvlText w:val="%6."/>
      <w:lvlJc w:val="right"/>
      <w:pPr>
        <w:ind w:left="6915" w:hanging="420"/>
      </w:pPr>
    </w:lvl>
    <w:lvl w:ilvl="6" w:tentative="0">
      <w:start w:val="1"/>
      <w:numFmt w:val="decimal"/>
      <w:lvlText w:val="%7."/>
      <w:lvlJc w:val="left"/>
      <w:pPr>
        <w:ind w:left="7335" w:hanging="420"/>
      </w:pPr>
    </w:lvl>
    <w:lvl w:ilvl="7" w:tentative="0">
      <w:start w:val="1"/>
      <w:numFmt w:val="lowerLetter"/>
      <w:lvlText w:val="%8)"/>
      <w:lvlJc w:val="left"/>
      <w:pPr>
        <w:ind w:left="7755" w:hanging="420"/>
      </w:pPr>
    </w:lvl>
    <w:lvl w:ilvl="8" w:tentative="0">
      <w:start w:val="1"/>
      <w:numFmt w:val="lowerRoman"/>
      <w:lvlText w:val="%9."/>
      <w:lvlJc w:val="right"/>
      <w:pPr>
        <w:ind w:left="8175" w:hanging="420"/>
      </w:pPr>
    </w:lvl>
  </w:abstractNum>
  <w:abstractNum w:abstractNumId="20">
    <w:nsid w:val="3C402830"/>
    <w:multiLevelType w:val="multilevel"/>
    <w:tmpl w:val="3C402830"/>
    <w:lvl w:ilvl="0" w:tentative="0">
      <w:start w:val="1"/>
      <w:numFmt w:val="decimal"/>
      <w:lvlText w:val="5.4.%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1">
    <w:nsid w:val="3C5675C2"/>
    <w:multiLevelType w:val="multilevel"/>
    <w:tmpl w:val="3C5675C2"/>
    <w:lvl w:ilvl="0" w:tentative="0">
      <w:start w:val="1"/>
      <w:numFmt w:val="decimal"/>
      <w:lvlText w:val="%1"/>
      <w:lvlJc w:val="left"/>
      <w:pPr>
        <w:ind w:left="900" w:hanging="420"/>
      </w:pPr>
      <w:rPr>
        <w:rFonts w:hint="eastAsia"/>
        <w:b/>
        <w:i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3E753FA9"/>
    <w:multiLevelType w:val="multilevel"/>
    <w:tmpl w:val="3E753FA9"/>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52A2449"/>
    <w:multiLevelType w:val="multilevel"/>
    <w:tmpl w:val="452A2449"/>
    <w:lvl w:ilvl="0" w:tentative="0">
      <w:start w:val="5"/>
      <w:numFmt w:val="decimal"/>
      <w:lvlText w:val="%1"/>
      <w:lvlJc w:val="left"/>
      <w:pPr>
        <w:ind w:left="480" w:hanging="480"/>
      </w:pPr>
      <w:rPr>
        <w:rFonts w:hint="default"/>
      </w:rPr>
    </w:lvl>
    <w:lvl w:ilvl="1" w:tentative="0">
      <w:start w:val="0"/>
      <w:numFmt w:val="decimal"/>
      <w:lvlText w:val="%1.%2"/>
      <w:lvlJc w:val="left"/>
      <w:pPr>
        <w:ind w:left="480" w:hanging="480"/>
      </w:pPr>
      <w:rPr>
        <w:rFonts w:hint="default"/>
      </w:rPr>
    </w:lvl>
    <w:lvl w:ilvl="2" w:tentative="0">
      <w:start w:val="1"/>
      <w:numFmt w:val="decimal"/>
      <w:lvlText w:val="5.8.%3"/>
      <w:lvlJc w:val="left"/>
      <w:pPr>
        <w:ind w:left="720" w:hanging="720"/>
      </w:pPr>
      <w:rPr>
        <w:rFonts w:hint="eastAsia"/>
        <w:b/>
        <w:i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4">
    <w:nsid w:val="465321C5"/>
    <w:multiLevelType w:val="multilevel"/>
    <w:tmpl w:val="465321C5"/>
    <w:lvl w:ilvl="0" w:tentative="0">
      <w:start w:val="5"/>
      <w:numFmt w:val="decimal"/>
      <w:lvlText w:val="%1"/>
      <w:lvlJc w:val="left"/>
      <w:pPr>
        <w:ind w:left="480" w:hanging="480"/>
      </w:pPr>
      <w:rPr>
        <w:rFonts w:hint="default"/>
      </w:rPr>
    </w:lvl>
    <w:lvl w:ilvl="1" w:tentative="0">
      <w:start w:val="0"/>
      <w:numFmt w:val="decimal"/>
      <w:lvlText w:val="%1.%2"/>
      <w:lvlJc w:val="left"/>
      <w:pPr>
        <w:ind w:left="480" w:hanging="480"/>
      </w:pPr>
      <w:rPr>
        <w:rFonts w:hint="default"/>
      </w:rPr>
    </w:lvl>
    <w:lvl w:ilvl="2" w:tentative="0">
      <w:start w:val="1"/>
      <w:numFmt w:val="decimal"/>
      <w:lvlText w:val="5.6.%3"/>
      <w:lvlJc w:val="left"/>
      <w:pPr>
        <w:ind w:left="720" w:hanging="720"/>
      </w:pPr>
      <w:rPr>
        <w:rFonts w:hint="eastAsia"/>
        <w:b/>
        <w:i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5">
    <w:nsid w:val="4A206478"/>
    <w:multiLevelType w:val="multilevel"/>
    <w:tmpl w:val="4A206478"/>
    <w:lvl w:ilvl="0" w:tentative="0">
      <w:start w:val="6"/>
      <w:numFmt w:val="decimal"/>
      <w:lvlText w:val="%1"/>
      <w:lvlJc w:val="left"/>
      <w:pPr>
        <w:ind w:left="480" w:hanging="480"/>
      </w:pPr>
      <w:rPr>
        <w:rFonts w:hint="default"/>
      </w:rPr>
    </w:lvl>
    <w:lvl w:ilvl="1" w:tentative="0">
      <w:start w:val="7"/>
      <w:numFmt w:val="decimal"/>
      <w:lvlText w:val="%1.%2"/>
      <w:lvlJc w:val="left"/>
      <w:pPr>
        <w:ind w:left="480" w:hanging="480"/>
      </w:pPr>
      <w:rPr>
        <w:rFonts w:hint="default"/>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6">
    <w:nsid w:val="4BCA37B0"/>
    <w:multiLevelType w:val="multilevel"/>
    <w:tmpl w:val="4BCA37B0"/>
    <w:lvl w:ilvl="0" w:tentative="0">
      <w:start w:val="1"/>
      <w:numFmt w:val="decimal"/>
      <w:lvlText w:val="7.6.%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27">
    <w:nsid w:val="4C523C67"/>
    <w:multiLevelType w:val="multilevel"/>
    <w:tmpl w:val="4C523C67"/>
    <w:lvl w:ilvl="0" w:tentative="0">
      <w:start w:val="1"/>
      <w:numFmt w:val="decimal"/>
      <w:lvlText w:val="7.2.%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28">
    <w:nsid w:val="4F874114"/>
    <w:multiLevelType w:val="multilevel"/>
    <w:tmpl w:val="4F874114"/>
    <w:lvl w:ilvl="0" w:tentative="0">
      <w:start w:val="1"/>
      <w:numFmt w:val="decimal"/>
      <w:lvlText w:val="%1"/>
      <w:lvlJc w:val="left"/>
      <w:pPr>
        <w:ind w:left="900" w:hanging="420"/>
      </w:pPr>
      <w:rPr>
        <w:rFonts w:hint="eastAsia"/>
        <w:b/>
        <w:i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9AD014B"/>
    <w:multiLevelType w:val="multilevel"/>
    <w:tmpl w:val="59AD014B"/>
    <w:lvl w:ilvl="0" w:tentative="0">
      <w:start w:val="5"/>
      <w:numFmt w:val="decimal"/>
      <w:lvlText w:val="%1"/>
      <w:lvlJc w:val="left"/>
      <w:pPr>
        <w:ind w:left="480" w:hanging="480"/>
      </w:pPr>
      <w:rPr>
        <w:rFonts w:hint="default"/>
      </w:rPr>
    </w:lvl>
    <w:lvl w:ilvl="1" w:tentative="0">
      <w:start w:val="0"/>
      <w:numFmt w:val="decimal"/>
      <w:lvlText w:val="%1.%2"/>
      <w:lvlJc w:val="left"/>
      <w:pPr>
        <w:ind w:left="480" w:hanging="480"/>
      </w:pPr>
      <w:rPr>
        <w:rFonts w:hint="default"/>
      </w:rPr>
    </w:lvl>
    <w:lvl w:ilvl="2" w:tentative="0">
      <w:start w:val="1"/>
      <w:numFmt w:val="decimal"/>
      <w:lvlText w:val="5.1.%3"/>
      <w:lvlJc w:val="left"/>
      <w:pPr>
        <w:ind w:left="720" w:hanging="720"/>
      </w:pPr>
      <w:rPr>
        <w:rFonts w:hint="eastAsia"/>
        <w:b/>
        <w:i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0">
    <w:nsid w:val="5AC15D36"/>
    <w:multiLevelType w:val="multilevel"/>
    <w:tmpl w:val="5AC15D36"/>
    <w:lvl w:ilvl="0" w:tentative="0">
      <w:start w:val="6"/>
      <w:numFmt w:val="decimal"/>
      <w:lvlText w:val="%1"/>
      <w:lvlJc w:val="left"/>
      <w:pPr>
        <w:ind w:left="480" w:hanging="480"/>
      </w:pPr>
      <w:rPr>
        <w:rFonts w:hint="default"/>
      </w:rPr>
    </w:lvl>
    <w:lvl w:ilvl="1" w:tentative="0">
      <w:start w:val="6"/>
      <w:numFmt w:val="decimal"/>
      <w:lvlText w:val="%1.%2"/>
      <w:lvlJc w:val="left"/>
      <w:pPr>
        <w:ind w:left="480" w:hanging="480"/>
      </w:pPr>
      <w:rPr>
        <w:rFonts w:hint="default"/>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1">
    <w:nsid w:val="5FC26684"/>
    <w:multiLevelType w:val="multilevel"/>
    <w:tmpl w:val="5FC26684"/>
    <w:lvl w:ilvl="0" w:tentative="0">
      <w:start w:val="1"/>
      <w:numFmt w:val="decimal"/>
      <w:lvlText w:val="%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32">
    <w:nsid w:val="612176BF"/>
    <w:multiLevelType w:val="multilevel"/>
    <w:tmpl w:val="612176BF"/>
    <w:lvl w:ilvl="0" w:tentative="0">
      <w:start w:val="1"/>
      <w:numFmt w:val="decimal"/>
      <w:lvlText w:val="%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3">
    <w:nsid w:val="61AA7618"/>
    <w:multiLevelType w:val="multilevel"/>
    <w:tmpl w:val="61AA761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4">
    <w:nsid w:val="62244FA4"/>
    <w:multiLevelType w:val="multilevel"/>
    <w:tmpl w:val="62244FA4"/>
    <w:lvl w:ilvl="0" w:tentative="0">
      <w:start w:val="1"/>
      <w:numFmt w:val="decimal"/>
      <w:lvlText w:val="%1"/>
      <w:lvlJc w:val="left"/>
      <w:pPr>
        <w:ind w:left="4815" w:hanging="420"/>
      </w:pPr>
      <w:rPr>
        <w:rFonts w:hint="eastAsia"/>
        <w:b/>
      </w:rPr>
    </w:lvl>
    <w:lvl w:ilvl="1" w:tentative="0">
      <w:start w:val="1"/>
      <w:numFmt w:val="lowerLetter"/>
      <w:lvlText w:val="%2)"/>
      <w:lvlJc w:val="left"/>
      <w:pPr>
        <w:ind w:left="5235" w:hanging="420"/>
      </w:pPr>
    </w:lvl>
    <w:lvl w:ilvl="2" w:tentative="0">
      <w:start w:val="1"/>
      <w:numFmt w:val="lowerRoman"/>
      <w:lvlText w:val="%3."/>
      <w:lvlJc w:val="right"/>
      <w:pPr>
        <w:ind w:left="5655" w:hanging="420"/>
      </w:pPr>
    </w:lvl>
    <w:lvl w:ilvl="3" w:tentative="0">
      <w:start w:val="1"/>
      <w:numFmt w:val="decimal"/>
      <w:lvlText w:val="%4."/>
      <w:lvlJc w:val="left"/>
      <w:pPr>
        <w:ind w:left="6075" w:hanging="420"/>
      </w:pPr>
    </w:lvl>
    <w:lvl w:ilvl="4" w:tentative="0">
      <w:start w:val="1"/>
      <w:numFmt w:val="lowerLetter"/>
      <w:lvlText w:val="%5)"/>
      <w:lvlJc w:val="left"/>
      <w:pPr>
        <w:ind w:left="6495" w:hanging="420"/>
      </w:pPr>
    </w:lvl>
    <w:lvl w:ilvl="5" w:tentative="0">
      <w:start w:val="1"/>
      <w:numFmt w:val="lowerRoman"/>
      <w:lvlText w:val="%6."/>
      <w:lvlJc w:val="right"/>
      <w:pPr>
        <w:ind w:left="6915" w:hanging="420"/>
      </w:pPr>
    </w:lvl>
    <w:lvl w:ilvl="6" w:tentative="0">
      <w:start w:val="1"/>
      <w:numFmt w:val="decimal"/>
      <w:lvlText w:val="%7."/>
      <w:lvlJc w:val="left"/>
      <w:pPr>
        <w:ind w:left="7335" w:hanging="420"/>
      </w:pPr>
    </w:lvl>
    <w:lvl w:ilvl="7" w:tentative="0">
      <w:start w:val="1"/>
      <w:numFmt w:val="lowerLetter"/>
      <w:lvlText w:val="%8)"/>
      <w:lvlJc w:val="left"/>
      <w:pPr>
        <w:ind w:left="7755" w:hanging="420"/>
      </w:pPr>
    </w:lvl>
    <w:lvl w:ilvl="8" w:tentative="0">
      <w:start w:val="1"/>
      <w:numFmt w:val="lowerRoman"/>
      <w:lvlText w:val="%9."/>
      <w:lvlJc w:val="right"/>
      <w:pPr>
        <w:ind w:left="8175" w:hanging="420"/>
      </w:pPr>
    </w:lvl>
  </w:abstractNum>
  <w:abstractNum w:abstractNumId="35">
    <w:nsid w:val="68926F19"/>
    <w:multiLevelType w:val="multilevel"/>
    <w:tmpl w:val="68926F19"/>
    <w:lvl w:ilvl="0" w:tentative="0">
      <w:start w:val="1"/>
      <w:numFmt w:val="decimal"/>
      <w:lvlText w:val="3.0.%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8E43C5E"/>
    <w:multiLevelType w:val="multilevel"/>
    <w:tmpl w:val="68E43C5E"/>
    <w:lvl w:ilvl="0" w:tentative="0">
      <w:start w:val="1"/>
      <w:numFmt w:val="decimal"/>
      <w:lvlText w:val="%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7">
    <w:nsid w:val="70DB4AC1"/>
    <w:multiLevelType w:val="multilevel"/>
    <w:tmpl w:val="70DB4AC1"/>
    <w:lvl w:ilvl="0" w:tentative="0">
      <w:start w:val="1"/>
      <w:numFmt w:val="decimal"/>
      <w:lvlText w:val="6.5.%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38">
    <w:nsid w:val="71E701A2"/>
    <w:multiLevelType w:val="multilevel"/>
    <w:tmpl w:val="71E701A2"/>
    <w:lvl w:ilvl="0" w:tentative="0">
      <w:start w:val="1"/>
      <w:numFmt w:val="decimal"/>
      <w:lvlText w:val="%1"/>
      <w:lvlJc w:val="left"/>
      <w:pPr>
        <w:ind w:left="900" w:hanging="420"/>
      </w:pPr>
      <w:rPr>
        <w:rFonts w:hint="eastAsia"/>
        <w:b/>
        <w:i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731A7443"/>
    <w:multiLevelType w:val="multilevel"/>
    <w:tmpl w:val="731A7443"/>
    <w:lvl w:ilvl="0" w:tentative="0">
      <w:start w:val="1"/>
      <w:numFmt w:val="decimal"/>
      <w:lvlText w:val="%1"/>
      <w:lvlJc w:val="left"/>
      <w:pPr>
        <w:ind w:left="1413" w:hanging="420"/>
      </w:pPr>
      <w:rPr>
        <w:rFonts w:hint="eastAsia"/>
        <w:b/>
        <w:i w:val="0"/>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0">
    <w:nsid w:val="74912ABA"/>
    <w:multiLevelType w:val="multilevel"/>
    <w:tmpl w:val="74912ABA"/>
    <w:lvl w:ilvl="0" w:tentative="0">
      <w:start w:val="1"/>
      <w:numFmt w:val="decimal"/>
      <w:lvlText w:val="%1"/>
      <w:lvlJc w:val="left"/>
      <w:pPr>
        <w:ind w:left="900" w:hanging="420"/>
      </w:pPr>
      <w:rPr>
        <w:rFonts w:hint="eastAsia"/>
        <w:b/>
        <w:i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77901600"/>
    <w:multiLevelType w:val="multilevel"/>
    <w:tmpl w:val="77901600"/>
    <w:lvl w:ilvl="0" w:tentative="0">
      <w:start w:val="5"/>
      <w:numFmt w:val="decimal"/>
      <w:lvlText w:val="%1"/>
      <w:lvlJc w:val="left"/>
      <w:pPr>
        <w:ind w:left="480" w:hanging="480"/>
      </w:pPr>
      <w:rPr>
        <w:rFonts w:hint="default"/>
      </w:rPr>
    </w:lvl>
    <w:lvl w:ilvl="1" w:tentative="0">
      <w:start w:val="0"/>
      <w:numFmt w:val="decimal"/>
      <w:lvlText w:val="%1.%2"/>
      <w:lvlJc w:val="left"/>
      <w:pPr>
        <w:ind w:left="480" w:hanging="480"/>
      </w:pPr>
      <w:rPr>
        <w:rFonts w:hint="default"/>
      </w:rPr>
    </w:lvl>
    <w:lvl w:ilvl="2" w:tentative="0">
      <w:start w:val="1"/>
      <w:numFmt w:val="decimal"/>
      <w:lvlText w:val="5.7.%3"/>
      <w:lvlJc w:val="left"/>
      <w:pPr>
        <w:ind w:left="720" w:hanging="720"/>
      </w:pPr>
      <w:rPr>
        <w:rFonts w:hint="eastAsia"/>
        <w:b/>
        <w:i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2">
    <w:nsid w:val="77FD0041"/>
    <w:multiLevelType w:val="multilevel"/>
    <w:tmpl w:val="77FD0041"/>
    <w:lvl w:ilvl="0" w:tentative="0">
      <w:start w:val="1"/>
      <w:numFmt w:val="decimal"/>
      <w:lvlText w:val="7.4.%1"/>
      <w:lvlJc w:val="left"/>
      <w:pPr>
        <w:ind w:left="1413" w:hanging="420"/>
      </w:pPr>
      <w:rPr>
        <w:rFonts w:hint="eastAsia"/>
        <w:b/>
        <w:i w:val="0"/>
      </w:rPr>
    </w:lvl>
    <w:lvl w:ilvl="1" w:tentative="0">
      <w:start w:val="1"/>
      <w:numFmt w:val="decimal"/>
      <w:isLgl/>
      <w:lvlText w:val="%1.%2"/>
      <w:lvlJc w:val="left"/>
      <w:pPr>
        <w:ind w:left="1488" w:hanging="495"/>
      </w:pPr>
      <w:rPr>
        <w:rFonts w:hint="default"/>
      </w:rPr>
    </w:lvl>
    <w:lvl w:ilvl="2" w:tentative="0">
      <w:start w:val="1"/>
      <w:numFmt w:val="decimal"/>
      <w:lvlText w:val="7.1.%3"/>
      <w:lvlJc w:val="left"/>
      <w:pPr>
        <w:ind w:left="1713" w:hanging="720"/>
      </w:pPr>
      <w:rPr>
        <w:rFonts w:hint="eastAsia"/>
        <w:b/>
        <w:i w:val="0"/>
      </w:rPr>
    </w:lvl>
    <w:lvl w:ilvl="3" w:tentative="0">
      <w:start w:val="1"/>
      <w:numFmt w:val="decimal"/>
      <w:isLgl/>
      <w:lvlText w:val="%1.%2.%3.%4"/>
      <w:lvlJc w:val="left"/>
      <w:pPr>
        <w:ind w:left="2073" w:hanging="108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433" w:hanging="144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793" w:hanging="1800"/>
      </w:pPr>
      <w:rPr>
        <w:rFonts w:hint="default"/>
      </w:rPr>
    </w:lvl>
    <w:lvl w:ilvl="8" w:tentative="0">
      <w:start w:val="1"/>
      <w:numFmt w:val="decimal"/>
      <w:isLgl/>
      <w:lvlText w:val="%1.%2.%3.%4.%5.%6.%7.%8.%9"/>
      <w:lvlJc w:val="left"/>
      <w:pPr>
        <w:ind w:left="3153" w:hanging="2160"/>
      </w:pPr>
      <w:rPr>
        <w:rFonts w:hint="default"/>
      </w:rPr>
    </w:lvl>
  </w:abstractNum>
  <w:abstractNum w:abstractNumId="43">
    <w:nsid w:val="79405C65"/>
    <w:multiLevelType w:val="multilevel"/>
    <w:tmpl w:val="79405C65"/>
    <w:lvl w:ilvl="0" w:tentative="0">
      <w:start w:val="1"/>
      <w:numFmt w:val="decimal"/>
      <w:lvlText w:val="5.5.%1"/>
      <w:lvlJc w:val="left"/>
      <w:pPr>
        <w:ind w:left="1413" w:hanging="420"/>
      </w:pPr>
      <w:rPr>
        <w:rFonts w:hint="eastAsia"/>
        <w:b/>
        <w:i w:val="0"/>
      </w:rPr>
    </w:lvl>
    <w:lvl w:ilvl="1" w:tentative="0">
      <w:start w:val="1"/>
      <w:numFmt w:val="decimal"/>
      <w:isLgl/>
      <w:lvlText w:val="%1.%2"/>
      <w:lvlJc w:val="left"/>
      <w:pPr>
        <w:ind w:left="1593" w:hanging="600"/>
      </w:pPr>
      <w:rPr>
        <w:rFonts w:hint="default"/>
      </w:rPr>
    </w:lvl>
    <w:lvl w:ilvl="2" w:tentative="0">
      <w:start w:val="1"/>
      <w:numFmt w:val="decimal"/>
      <w:lvlText w:val="6.1.%3"/>
      <w:lvlJc w:val="left"/>
      <w:pPr>
        <w:ind w:left="1713" w:hanging="720"/>
      </w:pPr>
      <w:rPr>
        <w:rFonts w:hint="eastAsia"/>
        <w:b/>
        <w:i w:val="0"/>
      </w:rPr>
    </w:lvl>
    <w:lvl w:ilvl="3" w:tentative="0">
      <w:start w:val="1"/>
      <w:numFmt w:val="decimal"/>
      <w:isLgl/>
      <w:lvlText w:val="%1.%2.%3.%4"/>
      <w:lvlJc w:val="left"/>
      <w:pPr>
        <w:ind w:left="1713" w:hanging="720"/>
      </w:pPr>
      <w:rPr>
        <w:rFonts w:hint="default"/>
      </w:rPr>
    </w:lvl>
    <w:lvl w:ilvl="4" w:tentative="0">
      <w:start w:val="1"/>
      <w:numFmt w:val="decimal"/>
      <w:isLgl/>
      <w:lvlText w:val="%1.%2.%3.%4.%5"/>
      <w:lvlJc w:val="left"/>
      <w:pPr>
        <w:ind w:left="2073" w:hanging="1080"/>
      </w:pPr>
      <w:rPr>
        <w:rFonts w:hint="default"/>
      </w:rPr>
    </w:lvl>
    <w:lvl w:ilvl="5" w:tentative="0">
      <w:start w:val="1"/>
      <w:numFmt w:val="decimal"/>
      <w:isLgl/>
      <w:lvlText w:val="%1.%2.%3.%4.%5.%6"/>
      <w:lvlJc w:val="left"/>
      <w:pPr>
        <w:ind w:left="2073" w:hanging="1080"/>
      </w:pPr>
      <w:rPr>
        <w:rFonts w:hint="default"/>
      </w:rPr>
    </w:lvl>
    <w:lvl w:ilvl="6" w:tentative="0">
      <w:start w:val="1"/>
      <w:numFmt w:val="decimal"/>
      <w:isLgl/>
      <w:lvlText w:val="%1.%2.%3.%4.%5.%6.%7"/>
      <w:lvlJc w:val="left"/>
      <w:pPr>
        <w:ind w:left="2433" w:hanging="1440"/>
      </w:pPr>
      <w:rPr>
        <w:rFonts w:hint="default"/>
      </w:rPr>
    </w:lvl>
    <w:lvl w:ilvl="7" w:tentative="0">
      <w:start w:val="1"/>
      <w:numFmt w:val="decimal"/>
      <w:isLgl/>
      <w:lvlText w:val="%1.%2.%3.%4.%5.%6.%7.%8"/>
      <w:lvlJc w:val="left"/>
      <w:pPr>
        <w:ind w:left="2433" w:hanging="1440"/>
      </w:pPr>
      <w:rPr>
        <w:rFonts w:hint="default"/>
      </w:rPr>
    </w:lvl>
    <w:lvl w:ilvl="8" w:tentative="0">
      <w:start w:val="1"/>
      <w:numFmt w:val="decimal"/>
      <w:isLgl/>
      <w:lvlText w:val="%1.%2.%3.%4.%5.%6.%7.%8.%9"/>
      <w:lvlJc w:val="left"/>
      <w:pPr>
        <w:ind w:left="2793" w:hanging="1800"/>
      </w:pPr>
      <w:rPr>
        <w:rFonts w:hint="default"/>
      </w:rPr>
    </w:lvl>
  </w:abstractNum>
  <w:abstractNum w:abstractNumId="44">
    <w:nsid w:val="79FD1F18"/>
    <w:multiLevelType w:val="multilevel"/>
    <w:tmpl w:val="79FD1F18"/>
    <w:lvl w:ilvl="0" w:tentative="0">
      <w:start w:val="1"/>
      <w:numFmt w:val="decimal"/>
      <w:lvlText w:val="%1"/>
      <w:lvlJc w:val="left"/>
      <w:pPr>
        <w:ind w:left="4815" w:hanging="420"/>
      </w:pPr>
      <w:rPr>
        <w:rFonts w:hint="eastAsia"/>
        <w:b/>
      </w:rPr>
    </w:lvl>
    <w:lvl w:ilvl="1" w:tentative="0">
      <w:start w:val="1"/>
      <w:numFmt w:val="lowerLetter"/>
      <w:lvlText w:val="%2)"/>
      <w:lvlJc w:val="left"/>
      <w:pPr>
        <w:ind w:left="5235" w:hanging="420"/>
      </w:pPr>
    </w:lvl>
    <w:lvl w:ilvl="2" w:tentative="0">
      <w:start w:val="1"/>
      <w:numFmt w:val="lowerRoman"/>
      <w:lvlText w:val="%3."/>
      <w:lvlJc w:val="right"/>
      <w:pPr>
        <w:ind w:left="5655" w:hanging="420"/>
      </w:pPr>
    </w:lvl>
    <w:lvl w:ilvl="3" w:tentative="0">
      <w:start w:val="1"/>
      <w:numFmt w:val="decimal"/>
      <w:lvlText w:val="%4."/>
      <w:lvlJc w:val="left"/>
      <w:pPr>
        <w:ind w:left="6075" w:hanging="420"/>
      </w:pPr>
    </w:lvl>
    <w:lvl w:ilvl="4" w:tentative="0">
      <w:start w:val="1"/>
      <w:numFmt w:val="lowerLetter"/>
      <w:lvlText w:val="%5)"/>
      <w:lvlJc w:val="left"/>
      <w:pPr>
        <w:ind w:left="6495" w:hanging="420"/>
      </w:pPr>
    </w:lvl>
    <w:lvl w:ilvl="5" w:tentative="0">
      <w:start w:val="1"/>
      <w:numFmt w:val="lowerRoman"/>
      <w:lvlText w:val="%6."/>
      <w:lvlJc w:val="right"/>
      <w:pPr>
        <w:ind w:left="6915" w:hanging="420"/>
      </w:pPr>
    </w:lvl>
    <w:lvl w:ilvl="6" w:tentative="0">
      <w:start w:val="1"/>
      <w:numFmt w:val="decimal"/>
      <w:lvlText w:val="%7."/>
      <w:lvlJc w:val="left"/>
      <w:pPr>
        <w:ind w:left="7335" w:hanging="420"/>
      </w:pPr>
    </w:lvl>
    <w:lvl w:ilvl="7" w:tentative="0">
      <w:start w:val="1"/>
      <w:numFmt w:val="lowerLetter"/>
      <w:lvlText w:val="%8)"/>
      <w:lvlJc w:val="left"/>
      <w:pPr>
        <w:ind w:left="7755" w:hanging="420"/>
      </w:pPr>
    </w:lvl>
    <w:lvl w:ilvl="8" w:tentative="0">
      <w:start w:val="1"/>
      <w:numFmt w:val="lowerRoman"/>
      <w:lvlText w:val="%9."/>
      <w:lvlJc w:val="right"/>
      <w:pPr>
        <w:ind w:left="8175" w:hanging="420"/>
      </w:pPr>
    </w:lvl>
  </w:abstractNum>
  <w:num w:numId="1">
    <w:abstractNumId w:val="11"/>
  </w:num>
  <w:num w:numId="2">
    <w:abstractNumId w:val="33"/>
  </w:num>
  <w:num w:numId="3">
    <w:abstractNumId w:val="35"/>
  </w:num>
  <w:num w:numId="4">
    <w:abstractNumId w:val="10"/>
  </w:num>
  <w:num w:numId="5">
    <w:abstractNumId w:val="40"/>
  </w:num>
  <w:num w:numId="6">
    <w:abstractNumId w:val="28"/>
  </w:num>
  <w:num w:numId="7">
    <w:abstractNumId w:val="29"/>
  </w:num>
  <w:num w:numId="8">
    <w:abstractNumId w:val="38"/>
  </w:num>
  <w:num w:numId="9">
    <w:abstractNumId w:val="21"/>
  </w:num>
  <w:num w:numId="10">
    <w:abstractNumId w:val="34"/>
  </w:num>
  <w:num w:numId="11">
    <w:abstractNumId w:val="19"/>
  </w:num>
  <w:num w:numId="12">
    <w:abstractNumId w:val="44"/>
  </w:num>
  <w:num w:numId="13">
    <w:abstractNumId w:val="9"/>
  </w:num>
  <w:num w:numId="14">
    <w:abstractNumId w:val="5"/>
  </w:num>
  <w:num w:numId="15">
    <w:abstractNumId w:val="20"/>
  </w:num>
  <w:num w:numId="16">
    <w:abstractNumId w:val="43"/>
  </w:num>
  <w:num w:numId="17">
    <w:abstractNumId w:val="12"/>
  </w:num>
  <w:num w:numId="18">
    <w:abstractNumId w:val="24"/>
  </w:num>
  <w:num w:numId="19">
    <w:abstractNumId w:val="41"/>
  </w:num>
  <w:num w:numId="20">
    <w:abstractNumId w:val="39"/>
  </w:num>
  <w:num w:numId="21">
    <w:abstractNumId w:val="14"/>
  </w:num>
  <w:num w:numId="22">
    <w:abstractNumId w:val="36"/>
  </w:num>
  <w:num w:numId="23">
    <w:abstractNumId w:val="4"/>
  </w:num>
  <w:num w:numId="24">
    <w:abstractNumId w:val="23"/>
  </w:num>
  <w:num w:numId="25">
    <w:abstractNumId w:val="22"/>
  </w:num>
  <w:num w:numId="26">
    <w:abstractNumId w:val="16"/>
  </w:num>
  <w:num w:numId="27">
    <w:abstractNumId w:val="1"/>
  </w:num>
  <w:num w:numId="28">
    <w:abstractNumId w:val="3"/>
  </w:num>
  <w:num w:numId="29">
    <w:abstractNumId w:val="13"/>
  </w:num>
  <w:num w:numId="30">
    <w:abstractNumId w:val="31"/>
  </w:num>
  <w:num w:numId="31">
    <w:abstractNumId w:val="15"/>
  </w:num>
  <w:num w:numId="32">
    <w:abstractNumId w:val="17"/>
  </w:num>
  <w:num w:numId="33">
    <w:abstractNumId w:val="37"/>
  </w:num>
  <w:num w:numId="34">
    <w:abstractNumId w:val="8"/>
  </w:num>
  <w:num w:numId="35">
    <w:abstractNumId w:val="30"/>
  </w:num>
  <w:num w:numId="36">
    <w:abstractNumId w:val="25"/>
  </w:num>
  <w:num w:numId="37">
    <w:abstractNumId w:val="2"/>
  </w:num>
  <w:num w:numId="38">
    <w:abstractNumId w:val="32"/>
  </w:num>
  <w:num w:numId="39">
    <w:abstractNumId w:val="27"/>
  </w:num>
  <w:num w:numId="40">
    <w:abstractNumId w:val="7"/>
  </w:num>
  <w:num w:numId="41">
    <w:abstractNumId w:val="6"/>
  </w:num>
  <w:num w:numId="42">
    <w:abstractNumId w:val="42"/>
  </w:num>
  <w:num w:numId="43">
    <w:abstractNumId w:val="0"/>
  </w:num>
  <w:num w:numId="44">
    <w:abstractNumId w:val="2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451"/>
    <w:rsid w:val="00000C6F"/>
    <w:rsid w:val="00000CF5"/>
    <w:rsid w:val="000013E7"/>
    <w:rsid w:val="000054A3"/>
    <w:rsid w:val="00011B5D"/>
    <w:rsid w:val="00012F0B"/>
    <w:rsid w:val="00013585"/>
    <w:rsid w:val="00013A76"/>
    <w:rsid w:val="000171D5"/>
    <w:rsid w:val="0002092F"/>
    <w:rsid w:val="00020BA0"/>
    <w:rsid w:val="000235B9"/>
    <w:rsid w:val="00026628"/>
    <w:rsid w:val="00027E60"/>
    <w:rsid w:val="0003004B"/>
    <w:rsid w:val="00031186"/>
    <w:rsid w:val="00032486"/>
    <w:rsid w:val="000329E9"/>
    <w:rsid w:val="00034E70"/>
    <w:rsid w:val="000443FE"/>
    <w:rsid w:val="00044C5C"/>
    <w:rsid w:val="00044DA5"/>
    <w:rsid w:val="000464E4"/>
    <w:rsid w:val="00051EF2"/>
    <w:rsid w:val="000608C2"/>
    <w:rsid w:val="00060D05"/>
    <w:rsid w:val="00062F88"/>
    <w:rsid w:val="0006740F"/>
    <w:rsid w:val="00067B6E"/>
    <w:rsid w:val="0007521F"/>
    <w:rsid w:val="00077B96"/>
    <w:rsid w:val="000862FE"/>
    <w:rsid w:val="0009147D"/>
    <w:rsid w:val="00091758"/>
    <w:rsid w:val="00092B65"/>
    <w:rsid w:val="00092BF0"/>
    <w:rsid w:val="00093671"/>
    <w:rsid w:val="000956AA"/>
    <w:rsid w:val="00096F85"/>
    <w:rsid w:val="000A499C"/>
    <w:rsid w:val="000A4C96"/>
    <w:rsid w:val="000A60F7"/>
    <w:rsid w:val="000A775E"/>
    <w:rsid w:val="000B0B76"/>
    <w:rsid w:val="000B5D65"/>
    <w:rsid w:val="000D21CC"/>
    <w:rsid w:val="000D3CED"/>
    <w:rsid w:val="000D69DF"/>
    <w:rsid w:val="000E0E92"/>
    <w:rsid w:val="000E43EE"/>
    <w:rsid w:val="000E49B5"/>
    <w:rsid w:val="000E5542"/>
    <w:rsid w:val="000F5745"/>
    <w:rsid w:val="00102837"/>
    <w:rsid w:val="001121D1"/>
    <w:rsid w:val="0011391D"/>
    <w:rsid w:val="00115010"/>
    <w:rsid w:val="00124459"/>
    <w:rsid w:val="001255D0"/>
    <w:rsid w:val="00132D25"/>
    <w:rsid w:val="001352C9"/>
    <w:rsid w:val="00137BBC"/>
    <w:rsid w:val="00140725"/>
    <w:rsid w:val="0014154D"/>
    <w:rsid w:val="001438E4"/>
    <w:rsid w:val="001449BF"/>
    <w:rsid w:val="00144DD9"/>
    <w:rsid w:val="00151EB8"/>
    <w:rsid w:val="00151FB5"/>
    <w:rsid w:val="00153B65"/>
    <w:rsid w:val="00155211"/>
    <w:rsid w:val="00157332"/>
    <w:rsid w:val="00157ACC"/>
    <w:rsid w:val="00160D44"/>
    <w:rsid w:val="00163AEE"/>
    <w:rsid w:val="00163B74"/>
    <w:rsid w:val="00165D0F"/>
    <w:rsid w:val="00167C46"/>
    <w:rsid w:val="001710B0"/>
    <w:rsid w:val="00174B29"/>
    <w:rsid w:val="001757BF"/>
    <w:rsid w:val="001809F8"/>
    <w:rsid w:val="00183F8F"/>
    <w:rsid w:val="0018657A"/>
    <w:rsid w:val="001871F3"/>
    <w:rsid w:val="00187DDE"/>
    <w:rsid w:val="0019552F"/>
    <w:rsid w:val="001957C9"/>
    <w:rsid w:val="001965E9"/>
    <w:rsid w:val="00196E38"/>
    <w:rsid w:val="001A420B"/>
    <w:rsid w:val="001A431A"/>
    <w:rsid w:val="001A714B"/>
    <w:rsid w:val="001B0041"/>
    <w:rsid w:val="001B1578"/>
    <w:rsid w:val="001B6D93"/>
    <w:rsid w:val="001B7053"/>
    <w:rsid w:val="001C2B27"/>
    <w:rsid w:val="001C35A4"/>
    <w:rsid w:val="001C6486"/>
    <w:rsid w:val="001C6FEE"/>
    <w:rsid w:val="001C7DD2"/>
    <w:rsid w:val="001D05EE"/>
    <w:rsid w:val="001D2326"/>
    <w:rsid w:val="001D38CE"/>
    <w:rsid w:val="001D6C1E"/>
    <w:rsid w:val="001E0794"/>
    <w:rsid w:val="001E205B"/>
    <w:rsid w:val="001E3187"/>
    <w:rsid w:val="001F00D1"/>
    <w:rsid w:val="001F23D6"/>
    <w:rsid w:val="001F3DA4"/>
    <w:rsid w:val="001F3DE7"/>
    <w:rsid w:val="001F5C59"/>
    <w:rsid w:val="00212B47"/>
    <w:rsid w:val="00214C30"/>
    <w:rsid w:val="00220C8A"/>
    <w:rsid w:val="002229F0"/>
    <w:rsid w:val="00223B64"/>
    <w:rsid w:val="00224E2C"/>
    <w:rsid w:val="00224F06"/>
    <w:rsid w:val="0022574D"/>
    <w:rsid w:val="002279DD"/>
    <w:rsid w:val="00231DA6"/>
    <w:rsid w:val="00232A77"/>
    <w:rsid w:val="00236BB6"/>
    <w:rsid w:val="00242E8B"/>
    <w:rsid w:val="00243028"/>
    <w:rsid w:val="002467FB"/>
    <w:rsid w:val="00246E1F"/>
    <w:rsid w:val="00252110"/>
    <w:rsid w:val="00253121"/>
    <w:rsid w:val="002577F2"/>
    <w:rsid w:val="00257947"/>
    <w:rsid w:val="00264B48"/>
    <w:rsid w:val="00266803"/>
    <w:rsid w:val="002677F2"/>
    <w:rsid w:val="002708D7"/>
    <w:rsid w:val="00274C43"/>
    <w:rsid w:val="002805E6"/>
    <w:rsid w:val="00291208"/>
    <w:rsid w:val="0029334C"/>
    <w:rsid w:val="00294C22"/>
    <w:rsid w:val="002A036A"/>
    <w:rsid w:val="002A0405"/>
    <w:rsid w:val="002A33B2"/>
    <w:rsid w:val="002B0735"/>
    <w:rsid w:val="002B2AAB"/>
    <w:rsid w:val="002B2BFC"/>
    <w:rsid w:val="002B2CD7"/>
    <w:rsid w:val="002B4AEA"/>
    <w:rsid w:val="002B593D"/>
    <w:rsid w:val="002C0012"/>
    <w:rsid w:val="002C20D1"/>
    <w:rsid w:val="002D6971"/>
    <w:rsid w:val="002D7B9F"/>
    <w:rsid w:val="002E178F"/>
    <w:rsid w:val="002E5865"/>
    <w:rsid w:val="002F1FE8"/>
    <w:rsid w:val="002F2836"/>
    <w:rsid w:val="002F440C"/>
    <w:rsid w:val="002F6F72"/>
    <w:rsid w:val="002F7B60"/>
    <w:rsid w:val="0030285D"/>
    <w:rsid w:val="003029A4"/>
    <w:rsid w:val="0030435B"/>
    <w:rsid w:val="00305B22"/>
    <w:rsid w:val="0030669E"/>
    <w:rsid w:val="0030706B"/>
    <w:rsid w:val="0030715F"/>
    <w:rsid w:val="00311ABB"/>
    <w:rsid w:val="00312640"/>
    <w:rsid w:val="00313489"/>
    <w:rsid w:val="00313883"/>
    <w:rsid w:val="00314470"/>
    <w:rsid w:val="00316310"/>
    <w:rsid w:val="00316765"/>
    <w:rsid w:val="0031770F"/>
    <w:rsid w:val="00320006"/>
    <w:rsid w:val="00321777"/>
    <w:rsid w:val="00324CF0"/>
    <w:rsid w:val="003272C7"/>
    <w:rsid w:val="00327BC1"/>
    <w:rsid w:val="0033735B"/>
    <w:rsid w:val="003452A9"/>
    <w:rsid w:val="00346181"/>
    <w:rsid w:val="003472AE"/>
    <w:rsid w:val="00353E61"/>
    <w:rsid w:val="00353FC3"/>
    <w:rsid w:val="00354B35"/>
    <w:rsid w:val="003574E9"/>
    <w:rsid w:val="00364E37"/>
    <w:rsid w:val="00367A33"/>
    <w:rsid w:val="00370D09"/>
    <w:rsid w:val="003778B1"/>
    <w:rsid w:val="003802BE"/>
    <w:rsid w:val="00382F1D"/>
    <w:rsid w:val="00385071"/>
    <w:rsid w:val="0038587E"/>
    <w:rsid w:val="00387240"/>
    <w:rsid w:val="003879C0"/>
    <w:rsid w:val="003941D4"/>
    <w:rsid w:val="003A06E9"/>
    <w:rsid w:val="003A4833"/>
    <w:rsid w:val="003B0E64"/>
    <w:rsid w:val="003B5EDA"/>
    <w:rsid w:val="003B6F11"/>
    <w:rsid w:val="003B7105"/>
    <w:rsid w:val="003C165B"/>
    <w:rsid w:val="003C37BB"/>
    <w:rsid w:val="003D6605"/>
    <w:rsid w:val="003E0160"/>
    <w:rsid w:val="003E049F"/>
    <w:rsid w:val="003E075D"/>
    <w:rsid w:val="003E15AE"/>
    <w:rsid w:val="003E2B15"/>
    <w:rsid w:val="003E3A05"/>
    <w:rsid w:val="003F2E16"/>
    <w:rsid w:val="003F7D03"/>
    <w:rsid w:val="00402737"/>
    <w:rsid w:val="00403877"/>
    <w:rsid w:val="00404429"/>
    <w:rsid w:val="004113A3"/>
    <w:rsid w:val="004118CC"/>
    <w:rsid w:val="00411BFC"/>
    <w:rsid w:val="0041548D"/>
    <w:rsid w:val="004165C5"/>
    <w:rsid w:val="00420814"/>
    <w:rsid w:val="00421F86"/>
    <w:rsid w:val="004248FA"/>
    <w:rsid w:val="004265DF"/>
    <w:rsid w:val="0043031C"/>
    <w:rsid w:val="00430820"/>
    <w:rsid w:val="00431E47"/>
    <w:rsid w:val="0043700D"/>
    <w:rsid w:val="00441823"/>
    <w:rsid w:val="00446956"/>
    <w:rsid w:val="004553E6"/>
    <w:rsid w:val="0045550F"/>
    <w:rsid w:val="004562C1"/>
    <w:rsid w:val="004562E9"/>
    <w:rsid w:val="004564EF"/>
    <w:rsid w:val="00457327"/>
    <w:rsid w:val="00462D27"/>
    <w:rsid w:val="00463D79"/>
    <w:rsid w:val="00466CF9"/>
    <w:rsid w:val="00472DE1"/>
    <w:rsid w:val="00475C55"/>
    <w:rsid w:val="00496C82"/>
    <w:rsid w:val="004A1AD1"/>
    <w:rsid w:val="004A34D1"/>
    <w:rsid w:val="004A47BC"/>
    <w:rsid w:val="004A6905"/>
    <w:rsid w:val="004A7BCE"/>
    <w:rsid w:val="004B49C7"/>
    <w:rsid w:val="004C1811"/>
    <w:rsid w:val="004C1D25"/>
    <w:rsid w:val="004C49D0"/>
    <w:rsid w:val="004C714B"/>
    <w:rsid w:val="004D2E20"/>
    <w:rsid w:val="004D39B6"/>
    <w:rsid w:val="004E0374"/>
    <w:rsid w:val="004E51BA"/>
    <w:rsid w:val="004F088D"/>
    <w:rsid w:val="004F7638"/>
    <w:rsid w:val="0050101C"/>
    <w:rsid w:val="00502BED"/>
    <w:rsid w:val="00505953"/>
    <w:rsid w:val="00506C73"/>
    <w:rsid w:val="00511B93"/>
    <w:rsid w:val="00511D44"/>
    <w:rsid w:val="00514590"/>
    <w:rsid w:val="00515428"/>
    <w:rsid w:val="00521A43"/>
    <w:rsid w:val="005240C6"/>
    <w:rsid w:val="0053062D"/>
    <w:rsid w:val="005329EF"/>
    <w:rsid w:val="00534DBE"/>
    <w:rsid w:val="00536458"/>
    <w:rsid w:val="005432D2"/>
    <w:rsid w:val="00544211"/>
    <w:rsid w:val="0054461C"/>
    <w:rsid w:val="00555173"/>
    <w:rsid w:val="005557E2"/>
    <w:rsid w:val="00557612"/>
    <w:rsid w:val="00562E9E"/>
    <w:rsid w:val="005648F8"/>
    <w:rsid w:val="00564B44"/>
    <w:rsid w:val="005671CE"/>
    <w:rsid w:val="0057217C"/>
    <w:rsid w:val="005754C0"/>
    <w:rsid w:val="00576C53"/>
    <w:rsid w:val="0058501A"/>
    <w:rsid w:val="005851AC"/>
    <w:rsid w:val="00586221"/>
    <w:rsid w:val="00592375"/>
    <w:rsid w:val="00593BD9"/>
    <w:rsid w:val="005961F0"/>
    <w:rsid w:val="005966BE"/>
    <w:rsid w:val="00596A04"/>
    <w:rsid w:val="005A02AA"/>
    <w:rsid w:val="005A055A"/>
    <w:rsid w:val="005A1F10"/>
    <w:rsid w:val="005A3016"/>
    <w:rsid w:val="005A3FB8"/>
    <w:rsid w:val="005A6CAD"/>
    <w:rsid w:val="005B1098"/>
    <w:rsid w:val="005B4939"/>
    <w:rsid w:val="005B5BF6"/>
    <w:rsid w:val="005B7E71"/>
    <w:rsid w:val="005C1F3C"/>
    <w:rsid w:val="005C2103"/>
    <w:rsid w:val="005C3D00"/>
    <w:rsid w:val="005C3F59"/>
    <w:rsid w:val="005C4AC8"/>
    <w:rsid w:val="005C5FB4"/>
    <w:rsid w:val="005D714B"/>
    <w:rsid w:val="005E17A7"/>
    <w:rsid w:val="005E29DB"/>
    <w:rsid w:val="005E391D"/>
    <w:rsid w:val="005E4F18"/>
    <w:rsid w:val="005E557F"/>
    <w:rsid w:val="005F1696"/>
    <w:rsid w:val="005F1D3F"/>
    <w:rsid w:val="005F26D1"/>
    <w:rsid w:val="005F799E"/>
    <w:rsid w:val="00601CF5"/>
    <w:rsid w:val="0060526F"/>
    <w:rsid w:val="0060702E"/>
    <w:rsid w:val="00611D07"/>
    <w:rsid w:val="00622533"/>
    <w:rsid w:val="0062739B"/>
    <w:rsid w:val="00631DBF"/>
    <w:rsid w:val="006360EF"/>
    <w:rsid w:val="006444F2"/>
    <w:rsid w:val="00651E9B"/>
    <w:rsid w:val="0065226D"/>
    <w:rsid w:val="0065529E"/>
    <w:rsid w:val="0065684B"/>
    <w:rsid w:val="0066093A"/>
    <w:rsid w:val="00661F17"/>
    <w:rsid w:val="00663EA7"/>
    <w:rsid w:val="00666867"/>
    <w:rsid w:val="006709D9"/>
    <w:rsid w:val="006713A1"/>
    <w:rsid w:val="006810D5"/>
    <w:rsid w:val="0069323A"/>
    <w:rsid w:val="006947E8"/>
    <w:rsid w:val="0069606B"/>
    <w:rsid w:val="00696E4E"/>
    <w:rsid w:val="00697D49"/>
    <w:rsid w:val="006A001F"/>
    <w:rsid w:val="006A24DE"/>
    <w:rsid w:val="006A2636"/>
    <w:rsid w:val="006A3119"/>
    <w:rsid w:val="006A5646"/>
    <w:rsid w:val="006A56EB"/>
    <w:rsid w:val="006A57A1"/>
    <w:rsid w:val="006A6032"/>
    <w:rsid w:val="006A69F0"/>
    <w:rsid w:val="006A74D0"/>
    <w:rsid w:val="006B247D"/>
    <w:rsid w:val="006B645C"/>
    <w:rsid w:val="006B6803"/>
    <w:rsid w:val="006B6D63"/>
    <w:rsid w:val="006B6FD9"/>
    <w:rsid w:val="006C39DC"/>
    <w:rsid w:val="006C44B6"/>
    <w:rsid w:val="006D4AD7"/>
    <w:rsid w:val="006D6451"/>
    <w:rsid w:val="006D7EC8"/>
    <w:rsid w:val="006E0E56"/>
    <w:rsid w:val="006E150B"/>
    <w:rsid w:val="006E4181"/>
    <w:rsid w:val="006E5F59"/>
    <w:rsid w:val="006E7B6D"/>
    <w:rsid w:val="006F1F55"/>
    <w:rsid w:val="006F5F93"/>
    <w:rsid w:val="006F7B5D"/>
    <w:rsid w:val="0070402E"/>
    <w:rsid w:val="007054F2"/>
    <w:rsid w:val="0071093D"/>
    <w:rsid w:val="007130FF"/>
    <w:rsid w:val="0071373A"/>
    <w:rsid w:val="00714F17"/>
    <w:rsid w:val="00720C0B"/>
    <w:rsid w:val="007229EA"/>
    <w:rsid w:val="007262E8"/>
    <w:rsid w:val="0072761E"/>
    <w:rsid w:val="007302BF"/>
    <w:rsid w:val="00735D5C"/>
    <w:rsid w:val="00735FCF"/>
    <w:rsid w:val="00741C42"/>
    <w:rsid w:val="00756FCD"/>
    <w:rsid w:val="007610DE"/>
    <w:rsid w:val="00762ACA"/>
    <w:rsid w:val="00763921"/>
    <w:rsid w:val="007645BF"/>
    <w:rsid w:val="00767667"/>
    <w:rsid w:val="007727F2"/>
    <w:rsid w:val="00774A4E"/>
    <w:rsid w:val="00781916"/>
    <w:rsid w:val="007931E1"/>
    <w:rsid w:val="007959D9"/>
    <w:rsid w:val="00796DC2"/>
    <w:rsid w:val="007A1A58"/>
    <w:rsid w:val="007A1DC5"/>
    <w:rsid w:val="007A30F6"/>
    <w:rsid w:val="007A3B84"/>
    <w:rsid w:val="007A3CC9"/>
    <w:rsid w:val="007C2809"/>
    <w:rsid w:val="007C5454"/>
    <w:rsid w:val="007D4880"/>
    <w:rsid w:val="007D4CE3"/>
    <w:rsid w:val="007D77E5"/>
    <w:rsid w:val="007E0A9C"/>
    <w:rsid w:val="007E1F93"/>
    <w:rsid w:val="007E5DB2"/>
    <w:rsid w:val="007E618C"/>
    <w:rsid w:val="007E6ABF"/>
    <w:rsid w:val="007F173C"/>
    <w:rsid w:val="007F1787"/>
    <w:rsid w:val="007F3CEE"/>
    <w:rsid w:val="007F4F60"/>
    <w:rsid w:val="007F6B58"/>
    <w:rsid w:val="00800357"/>
    <w:rsid w:val="0080105D"/>
    <w:rsid w:val="00805603"/>
    <w:rsid w:val="00807C97"/>
    <w:rsid w:val="0081062A"/>
    <w:rsid w:val="00817571"/>
    <w:rsid w:val="00820760"/>
    <w:rsid w:val="00825EDD"/>
    <w:rsid w:val="00826DFE"/>
    <w:rsid w:val="008313FE"/>
    <w:rsid w:val="0083140B"/>
    <w:rsid w:val="00837823"/>
    <w:rsid w:val="0084109B"/>
    <w:rsid w:val="008437B7"/>
    <w:rsid w:val="00846483"/>
    <w:rsid w:val="00851A7C"/>
    <w:rsid w:val="00852E87"/>
    <w:rsid w:val="00855E7A"/>
    <w:rsid w:val="0085695D"/>
    <w:rsid w:val="0086080B"/>
    <w:rsid w:val="00861580"/>
    <w:rsid w:val="00862F7D"/>
    <w:rsid w:val="00864C46"/>
    <w:rsid w:val="00872558"/>
    <w:rsid w:val="00873460"/>
    <w:rsid w:val="008737B9"/>
    <w:rsid w:val="00880A65"/>
    <w:rsid w:val="0088163B"/>
    <w:rsid w:val="00886B66"/>
    <w:rsid w:val="00890391"/>
    <w:rsid w:val="0089157B"/>
    <w:rsid w:val="00896335"/>
    <w:rsid w:val="008A02ED"/>
    <w:rsid w:val="008A0770"/>
    <w:rsid w:val="008A5DE1"/>
    <w:rsid w:val="008A7807"/>
    <w:rsid w:val="008B0B08"/>
    <w:rsid w:val="008B15FE"/>
    <w:rsid w:val="008B638C"/>
    <w:rsid w:val="008C0909"/>
    <w:rsid w:val="008C4B85"/>
    <w:rsid w:val="008C4C77"/>
    <w:rsid w:val="008D13E6"/>
    <w:rsid w:val="008D158E"/>
    <w:rsid w:val="008D4924"/>
    <w:rsid w:val="008D63FE"/>
    <w:rsid w:val="008E171A"/>
    <w:rsid w:val="008E4A03"/>
    <w:rsid w:val="008E5BEC"/>
    <w:rsid w:val="008E778F"/>
    <w:rsid w:val="008F122B"/>
    <w:rsid w:val="008F2E3C"/>
    <w:rsid w:val="008F359A"/>
    <w:rsid w:val="008F3F55"/>
    <w:rsid w:val="008F4B44"/>
    <w:rsid w:val="008F7E4D"/>
    <w:rsid w:val="00902B2B"/>
    <w:rsid w:val="00907E7A"/>
    <w:rsid w:val="00912720"/>
    <w:rsid w:val="00913EDF"/>
    <w:rsid w:val="009140D0"/>
    <w:rsid w:val="0091646E"/>
    <w:rsid w:val="00916D5D"/>
    <w:rsid w:val="0092243F"/>
    <w:rsid w:val="00925710"/>
    <w:rsid w:val="009258DC"/>
    <w:rsid w:val="00925C1E"/>
    <w:rsid w:val="00930947"/>
    <w:rsid w:val="0093408B"/>
    <w:rsid w:val="009353F1"/>
    <w:rsid w:val="009473C3"/>
    <w:rsid w:val="0095083B"/>
    <w:rsid w:val="009520A4"/>
    <w:rsid w:val="009529A8"/>
    <w:rsid w:val="009542FB"/>
    <w:rsid w:val="00963365"/>
    <w:rsid w:val="00966D5D"/>
    <w:rsid w:val="00970ED2"/>
    <w:rsid w:val="009718E0"/>
    <w:rsid w:val="0097278D"/>
    <w:rsid w:val="00973D83"/>
    <w:rsid w:val="00973F75"/>
    <w:rsid w:val="0097728B"/>
    <w:rsid w:val="00981074"/>
    <w:rsid w:val="00981608"/>
    <w:rsid w:val="00982929"/>
    <w:rsid w:val="00985C4A"/>
    <w:rsid w:val="00997CAE"/>
    <w:rsid w:val="009A2CEC"/>
    <w:rsid w:val="009A3DAB"/>
    <w:rsid w:val="009A43AD"/>
    <w:rsid w:val="009C036A"/>
    <w:rsid w:val="009C1453"/>
    <w:rsid w:val="009C1470"/>
    <w:rsid w:val="009C5F10"/>
    <w:rsid w:val="009C72B1"/>
    <w:rsid w:val="009D56C5"/>
    <w:rsid w:val="009E7A00"/>
    <w:rsid w:val="009F3573"/>
    <w:rsid w:val="009F442E"/>
    <w:rsid w:val="009F7218"/>
    <w:rsid w:val="00A00863"/>
    <w:rsid w:val="00A01B0C"/>
    <w:rsid w:val="00A034CA"/>
    <w:rsid w:val="00A06F9C"/>
    <w:rsid w:val="00A14292"/>
    <w:rsid w:val="00A17162"/>
    <w:rsid w:val="00A173E2"/>
    <w:rsid w:val="00A2208E"/>
    <w:rsid w:val="00A23549"/>
    <w:rsid w:val="00A2500F"/>
    <w:rsid w:val="00A3362A"/>
    <w:rsid w:val="00A371AE"/>
    <w:rsid w:val="00A37A3B"/>
    <w:rsid w:val="00A41B1C"/>
    <w:rsid w:val="00A42824"/>
    <w:rsid w:val="00A43A5F"/>
    <w:rsid w:val="00A44867"/>
    <w:rsid w:val="00A44B4F"/>
    <w:rsid w:val="00A44BBA"/>
    <w:rsid w:val="00A477EC"/>
    <w:rsid w:val="00A5368F"/>
    <w:rsid w:val="00A62848"/>
    <w:rsid w:val="00A6508C"/>
    <w:rsid w:val="00A65E01"/>
    <w:rsid w:val="00A72137"/>
    <w:rsid w:val="00A72AD2"/>
    <w:rsid w:val="00A73F8C"/>
    <w:rsid w:val="00A74036"/>
    <w:rsid w:val="00A74790"/>
    <w:rsid w:val="00A80E40"/>
    <w:rsid w:val="00A84180"/>
    <w:rsid w:val="00A856DB"/>
    <w:rsid w:val="00AA0D63"/>
    <w:rsid w:val="00AA1519"/>
    <w:rsid w:val="00AA7082"/>
    <w:rsid w:val="00AB18A5"/>
    <w:rsid w:val="00AB2662"/>
    <w:rsid w:val="00AB409A"/>
    <w:rsid w:val="00AB4829"/>
    <w:rsid w:val="00AB6BEE"/>
    <w:rsid w:val="00AC341F"/>
    <w:rsid w:val="00AC613B"/>
    <w:rsid w:val="00AD0436"/>
    <w:rsid w:val="00AD3BBD"/>
    <w:rsid w:val="00AD5EC3"/>
    <w:rsid w:val="00AD7689"/>
    <w:rsid w:val="00AE5299"/>
    <w:rsid w:val="00AE6FA2"/>
    <w:rsid w:val="00AE724D"/>
    <w:rsid w:val="00AF2075"/>
    <w:rsid w:val="00AF619A"/>
    <w:rsid w:val="00AF752B"/>
    <w:rsid w:val="00B006E0"/>
    <w:rsid w:val="00B00CD6"/>
    <w:rsid w:val="00B06029"/>
    <w:rsid w:val="00B07757"/>
    <w:rsid w:val="00B122F7"/>
    <w:rsid w:val="00B178B8"/>
    <w:rsid w:val="00B17C6B"/>
    <w:rsid w:val="00B27FCB"/>
    <w:rsid w:val="00B3029C"/>
    <w:rsid w:val="00B30659"/>
    <w:rsid w:val="00B3334C"/>
    <w:rsid w:val="00B351D6"/>
    <w:rsid w:val="00B37885"/>
    <w:rsid w:val="00B41BA2"/>
    <w:rsid w:val="00B54F78"/>
    <w:rsid w:val="00B60392"/>
    <w:rsid w:val="00B63EAD"/>
    <w:rsid w:val="00B661B7"/>
    <w:rsid w:val="00B81036"/>
    <w:rsid w:val="00B83570"/>
    <w:rsid w:val="00B8495E"/>
    <w:rsid w:val="00B85C5C"/>
    <w:rsid w:val="00B85D89"/>
    <w:rsid w:val="00B85E2E"/>
    <w:rsid w:val="00B90589"/>
    <w:rsid w:val="00B94613"/>
    <w:rsid w:val="00B94651"/>
    <w:rsid w:val="00B973F3"/>
    <w:rsid w:val="00BA0407"/>
    <w:rsid w:val="00BA3F76"/>
    <w:rsid w:val="00BA56A1"/>
    <w:rsid w:val="00BA5B59"/>
    <w:rsid w:val="00BA668F"/>
    <w:rsid w:val="00BB5B57"/>
    <w:rsid w:val="00BB5BA5"/>
    <w:rsid w:val="00BB7D11"/>
    <w:rsid w:val="00BC195B"/>
    <w:rsid w:val="00BC206D"/>
    <w:rsid w:val="00BC3DA2"/>
    <w:rsid w:val="00BC568D"/>
    <w:rsid w:val="00BC6234"/>
    <w:rsid w:val="00BD3205"/>
    <w:rsid w:val="00BD6A76"/>
    <w:rsid w:val="00BD7C0C"/>
    <w:rsid w:val="00BE63BE"/>
    <w:rsid w:val="00BE745E"/>
    <w:rsid w:val="00BF3599"/>
    <w:rsid w:val="00BF4A1B"/>
    <w:rsid w:val="00C02353"/>
    <w:rsid w:val="00C03421"/>
    <w:rsid w:val="00C037B2"/>
    <w:rsid w:val="00C0662F"/>
    <w:rsid w:val="00C16427"/>
    <w:rsid w:val="00C22298"/>
    <w:rsid w:val="00C23CF3"/>
    <w:rsid w:val="00C24343"/>
    <w:rsid w:val="00C36B72"/>
    <w:rsid w:val="00C41875"/>
    <w:rsid w:val="00C431AB"/>
    <w:rsid w:val="00C44400"/>
    <w:rsid w:val="00C47CC9"/>
    <w:rsid w:val="00C47E9A"/>
    <w:rsid w:val="00C51355"/>
    <w:rsid w:val="00C51A14"/>
    <w:rsid w:val="00C7298C"/>
    <w:rsid w:val="00C73476"/>
    <w:rsid w:val="00C74A5C"/>
    <w:rsid w:val="00C757B0"/>
    <w:rsid w:val="00C758C8"/>
    <w:rsid w:val="00C764EE"/>
    <w:rsid w:val="00C8082B"/>
    <w:rsid w:val="00C814AA"/>
    <w:rsid w:val="00C85545"/>
    <w:rsid w:val="00C855FC"/>
    <w:rsid w:val="00C8731E"/>
    <w:rsid w:val="00C8783F"/>
    <w:rsid w:val="00C910C2"/>
    <w:rsid w:val="00C97311"/>
    <w:rsid w:val="00CA086F"/>
    <w:rsid w:val="00CB32D9"/>
    <w:rsid w:val="00CB4EBB"/>
    <w:rsid w:val="00CC32E6"/>
    <w:rsid w:val="00CC3518"/>
    <w:rsid w:val="00CC3ABB"/>
    <w:rsid w:val="00CC5D2B"/>
    <w:rsid w:val="00CD2589"/>
    <w:rsid w:val="00CD6254"/>
    <w:rsid w:val="00CD6687"/>
    <w:rsid w:val="00CD7C6E"/>
    <w:rsid w:val="00CD7E79"/>
    <w:rsid w:val="00CE0A8D"/>
    <w:rsid w:val="00CE4E47"/>
    <w:rsid w:val="00CE57DA"/>
    <w:rsid w:val="00CF0295"/>
    <w:rsid w:val="00D02D0E"/>
    <w:rsid w:val="00D036B1"/>
    <w:rsid w:val="00D03C87"/>
    <w:rsid w:val="00D14621"/>
    <w:rsid w:val="00D16E94"/>
    <w:rsid w:val="00D216FD"/>
    <w:rsid w:val="00D23CBE"/>
    <w:rsid w:val="00D2664D"/>
    <w:rsid w:val="00D42138"/>
    <w:rsid w:val="00D42547"/>
    <w:rsid w:val="00D4304C"/>
    <w:rsid w:val="00D510D7"/>
    <w:rsid w:val="00D554D6"/>
    <w:rsid w:val="00D579B1"/>
    <w:rsid w:val="00D6096D"/>
    <w:rsid w:val="00D751C3"/>
    <w:rsid w:val="00D77373"/>
    <w:rsid w:val="00D80660"/>
    <w:rsid w:val="00D917F1"/>
    <w:rsid w:val="00D91CB9"/>
    <w:rsid w:val="00D932DB"/>
    <w:rsid w:val="00D9503E"/>
    <w:rsid w:val="00D952A4"/>
    <w:rsid w:val="00D95578"/>
    <w:rsid w:val="00D97070"/>
    <w:rsid w:val="00D97F68"/>
    <w:rsid w:val="00DA3CEC"/>
    <w:rsid w:val="00DA4DBC"/>
    <w:rsid w:val="00DA65D0"/>
    <w:rsid w:val="00DA700A"/>
    <w:rsid w:val="00DA7AA2"/>
    <w:rsid w:val="00DB2F00"/>
    <w:rsid w:val="00DC046C"/>
    <w:rsid w:val="00DD3496"/>
    <w:rsid w:val="00DD48AC"/>
    <w:rsid w:val="00DE173F"/>
    <w:rsid w:val="00DE4B0E"/>
    <w:rsid w:val="00DE7398"/>
    <w:rsid w:val="00DF14D9"/>
    <w:rsid w:val="00DF2209"/>
    <w:rsid w:val="00DF4827"/>
    <w:rsid w:val="00DF492D"/>
    <w:rsid w:val="00DF5375"/>
    <w:rsid w:val="00DF6D48"/>
    <w:rsid w:val="00E04DCA"/>
    <w:rsid w:val="00E10974"/>
    <w:rsid w:val="00E12B79"/>
    <w:rsid w:val="00E24D5B"/>
    <w:rsid w:val="00E24E35"/>
    <w:rsid w:val="00E26AA6"/>
    <w:rsid w:val="00E305DA"/>
    <w:rsid w:val="00E35FD7"/>
    <w:rsid w:val="00E3767B"/>
    <w:rsid w:val="00E40E93"/>
    <w:rsid w:val="00E42217"/>
    <w:rsid w:val="00E4663C"/>
    <w:rsid w:val="00E46EBD"/>
    <w:rsid w:val="00E53BDB"/>
    <w:rsid w:val="00E60F2A"/>
    <w:rsid w:val="00E70C22"/>
    <w:rsid w:val="00E71DA6"/>
    <w:rsid w:val="00E72435"/>
    <w:rsid w:val="00E73BB3"/>
    <w:rsid w:val="00E740EF"/>
    <w:rsid w:val="00E74A55"/>
    <w:rsid w:val="00E75DED"/>
    <w:rsid w:val="00E76D22"/>
    <w:rsid w:val="00E77346"/>
    <w:rsid w:val="00E81E92"/>
    <w:rsid w:val="00E81EBC"/>
    <w:rsid w:val="00E82F87"/>
    <w:rsid w:val="00E8621D"/>
    <w:rsid w:val="00E91875"/>
    <w:rsid w:val="00E94347"/>
    <w:rsid w:val="00E94CE6"/>
    <w:rsid w:val="00E977EE"/>
    <w:rsid w:val="00EA2F29"/>
    <w:rsid w:val="00EA5BC3"/>
    <w:rsid w:val="00EA6419"/>
    <w:rsid w:val="00EA64D0"/>
    <w:rsid w:val="00EA6856"/>
    <w:rsid w:val="00EB0A3F"/>
    <w:rsid w:val="00EB43CC"/>
    <w:rsid w:val="00EC6305"/>
    <w:rsid w:val="00ED0B14"/>
    <w:rsid w:val="00ED5297"/>
    <w:rsid w:val="00ED6DF6"/>
    <w:rsid w:val="00ED74B3"/>
    <w:rsid w:val="00EE5992"/>
    <w:rsid w:val="00EF24B4"/>
    <w:rsid w:val="00EF53F7"/>
    <w:rsid w:val="00F071DE"/>
    <w:rsid w:val="00F07B4F"/>
    <w:rsid w:val="00F10C32"/>
    <w:rsid w:val="00F15FCF"/>
    <w:rsid w:val="00F20D2D"/>
    <w:rsid w:val="00F27743"/>
    <w:rsid w:val="00F30D42"/>
    <w:rsid w:val="00F3160D"/>
    <w:rsid w:val="00F32D70"/>
    <w:rsid w:val="00F34621"/>
    <w:rsid w:val="00F35B0E"/>
    <w:rsid w:val="00F37972"/>
    <w:rsid w:val="00F37C6E"/>
    <w:rsid w:val="00F40198"/>
    <w:rsid w:val="00F45B4F"/>
    <w:rsid w:val="00F46FBF"/>
    <w:rsid w:val="00F47691"/>
    <w:rsid w:val="00F51031"/>
    <w:rsid w:val="00F52C97"/>
    <w:rsid w:val="00F53C52"/>
    <w:rsid w:val="00F54789"/>
    <w:rsid w:val="00F56653"/>
    <w:rsid w:val="00F57D41"/>
    <w:rsid w:val="00F602DC"/>
    <w:rsid w:val="00F60721"/>
    <w:rsid w:val="00F62D9E"/>
    <w:rsid w:val="00F663AA"/>
    <w:rsid w:val="00F817A8"/>
    <w:rsid w:val="00F85E98"/>
    <w:rsid w:val="00F934AB"/>
    <w:rsid w:val="00F969DC"/>
    <w:rsid w:val="00FA30BA"/>
    <w:rsid w:val="00FB222B"/>
    <w:rsid w:val="00FB41C5"/>
    <w:rsid w:val="00FB4F11"/>
    <w:rsid w:val="00FB5A1A"/>
    <w:rsid w:val="00FB5DE1"/>
    <w:rsid w:val="00FB6AEE"/>
    <w:rsid w:val="00FC2FA4"/>
    <w:rsid w:val="00FC5A7E"/>
    <w:rsid w:val="00FC5EC9"/>
    <w:rsid w:val="00FD1C1F"/>
    <w:rsid w:val="00FD40D2"/>
    <w:rsid w:val="00FD436E"/>
    <w:rsid w:val="00FE37F7"/>
    <w:rsid w:val="00FE3951"/>
    <w:rsid w:val="00FE709D"/>
    <w:rsid w:val="00FE72DA"/>
    <w:rsid w:val="00FF05A5"/>
    <w:rsid w:val="00FF7847"/>
    <w:rsid w:val="21D17FAD"/>
    <w:rsid w:val="27D44989"/>
    <w:rsid w:val="2BE27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Lines="100" w:line="360" w:lineRule="auto"/>
      <w:jc w:val="both"/>
    </w:pPr>
    <w:rPr>
      <w:rFonts w:ascii="Times New Roman" w:hAnsi="Times New Roman" w:eastAsia="宋体" w:cs="Times New Roman"/>
      <w:kern w:val="2"/>
      <w:sz w:val="24"/>
      <w:szCs w:val="28"/>
      <w:lang w:val="en-US" w:eastAsia="zh-CN" w:bidi="ar-SA"/>
    </w:rPr>
  </w:style>
  <w:style w:type="paragraph" w:styleId="2">
    <w:name w:val="heading 1"/>
    <w:basedOn w:val="1"/>
    <w:next w:val="1"/>
    <w:link w:val="18"/>
    <w:qFormat/>
    <w:uiPriority w:val="99"/>
    <w:pPr>
      <w:keepNext/>
      <w:keepLines/>
      <w:spacing w:before="340" w:after="330" w:line="578" w:lineRule="auto"/>
      <w:jc w:val="center"/>
      <w:outlineLvl w:val="0"/>
    </w:pPr>
    <w:rPr>
      <w:rFonts w:cs="黑体"/>
      <w:b/>
      <w:bCs/>
      <w:kern w:val="44"/>
      <w:sz w:val="30"/>
      <w:szCs w:val="44"/>
    </w:rPr>
  </w:style>
  <w:style w:type="paragraph" w:styleId="3">
    <w:name w:val="heading 2"/>
    <w:basedOn w:val="1"/>
    <w:next w:val="1"/>
    <w:link w:val="20"/>
    <w:qFormat/>
    <w:uiPriority w:val="99"/>
    <w:pPr>
      <w:keepNext/>
      <w:keepLines/>
      <w:spacing w:before="260" w:after="260" w:line="416" w:lineRule="auto"/>
      <w:outlineLvl w:val="1"/>
    </w:pPr>
    <w:rPr>
      <w:rFonts w:cs="黑体"/>
      <w:b/>
      <w:bCs/>
      <w:sz w:val="28"/>
      <w:szCs w:val="32"/>
    </w:rPr>
  </w:style>
  <w:style w:type="paragraph" w:styleId="4">
    <w:name w:val="heading 3"/>
    <w:basedOn w:val="1"/>
    <w:next w:val="1"/>
    <w:link w:val="28"/>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6">
    <w:name w:val="Plain Text"/>
    <w:basedOn w:val="1"/>
    <w:link w:val="23"/>
    <w:qFormat/>
    <w:uiPriority w:val="99"/>
    <w:rPr>
      <w:rFonts w:ascii="宋体" w:hAnsi="Courier New"/>
      <w:szCs w:val="20"/>
    </w:rPr>
  </w:style>
  <w:style w:type="paragraph" w:styleId="7">
    <w:name w:val="Date"/>
    <w:basedOn w:val="1"/>
    <w:next w:val="1"/>
    <w:link w:val="21"/>
    <w:semiHidden/>
    <w:unhideWhenUsed/>
    <w:qFormat/>
    <w:uiPriority w:val="99"/>
    <w:pPr>
      <w:ind w:left="100" w:leftChars="2500"/>
    </w:pPr>
  </w:style>
  <w:style w:type="paragraph" w:styleId="8">
    <w:name w:val="Balloon Text"/>
    <w:basedOn w:val="1"/>
    <w:link w:val="27"/>
    <w:semiHidden/>
    <w:unhideWhenUsed/>
    <w:qFormat/>
    <w:uiPriority w:val="99"/>
    <w:pPr>
      <w:spacing w:line="240" w:lineRule="auto"/>
    </w:pPr>
    <w:rPr>
      <w:sz w:val="18"/>
      <w:szCs w:val="18"/>
    </w:rPr>
  </w:style>
  <w:style w:type="paragraph" w:styleId="9">
    <w:name w:val="footer"/>
    <w:basedOn w:val="1"/>
    <w:link w:val="25"/>
    <w:unhideWhenUsed/>
    <w:qFormat/>
    <w:uiPriority w:val="99"/>
    <w:pPr>
      <w:tabs>
        <w:tab w:val="center" w:pos="4153"/>
        <w:tab w:val="right" w:pos="8306"/>
      </w:tabs>
      <w:snapToGrid w:val="0"/>
      <w:spacing w:line="240" w:lineRule="auto"/>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tabs>
        <w:tab w:val="left" w:pos="420"/>
        <w:tab w:val="right" w:leader="dot" w:pos="8296"/>
      </w:tabs>
      <w:spacing w:afterLines="0"/>
    </w:pPr>
    <w:rPr>
      <w:b/>
    </w:rPr>
  </w:style>
  <w:style w:type="paragraph" w:styleId="12">
    <w:name w:val="toc 2"/>
    <w:basedOn w:val="1"/>
    <w:next w:val="1"/>
    <w:unhideWhenUsed/>
    <w:qFormat/>
    <w:uiPriority w:val="39"/>
    <w:pPr>
      <w:spacing w:afterLines="0"/>
      <w:ind w:left="200" w:leftChars="200"/>
    </w:pPr>
  </w:style>
  <w:style w:type="paragraph" w:styleId="13">
    <w:name w:val="Normal (Web)"/>
    <w:basedOn w:val="1"/>
    <w:unhideWhenUsed/>
    <w:qFormat/>
    <w:uiPriority w:val="99"/>
    <w:pPr>
      <w:widowControl/>
      <w:spacing w:before="100" w:beforeAutospacing="1" w:after="100" w:afterLines="0" w:afterAutospacing="1" w:line="240" w:lineRule="auto"/>
    </w:pPr>
    <w:rPr>
      <w:rFonts w:ascii="宋体" w:hAnsi="宋体" w:cs="宋体"/>
      <w:kern w:val="0"/>
      <w:szCs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Char"/>
    <w:basedOn w:val="16"/>
    <w:link w:val="2"/>
    <w:qFormat/>
    <w:uiPriority w:val="99"/>
    <w:rPr>
      <w:rFonts w:ascii="Times New Roman" w:hAnsi="Times New Roman" w:eastAsia="宋体" w:cs="黑体"/>
      <w:b/>
      <w:bCs/>
      <w:kern w:val="44"/>
      <w:sz w:val="30"/>
      <w:szCs w:val="44"/>
    </w:rPr>
  </w:style>
  <w:style w:type="paragraph" w:styleId="19">
    <w:name w:val="List Paragraph"/>
    <w:basedOn w:val="1"/>
    <w:qFormat/>
    <w:uiPriority w:val="34"/>
    <w:pPr>
      <w:ind w:firstLine="420" w:firstLineChars="200"/>
    </w:pPr>
  </w:style>
  <w:style w:type="character" w:customStyle="1" w:styleId="20">
    <w:name w:val="标题 2 Char"/>
    <w:basedOn w:val="16"/>
    <w:link w:val="3"/>
    <w:uiPriority w:val="99"/>
    <w:rPr>
      <w:rFonts w:ascii="Times New Roman" w:hAnsi="Times New Roman" w:eastAsia="宋体" w:cs="黑体"/>
      <w:b/>
      <w:bCs/>
      <w:sz w:val="28"/>
      <w:szCs w:val="32"/>
    </w:rPr>
  </w:style>
  <w:style w:type="character" w:customStyle="1" w:styleId="21">
    <w:name w:val="日期 Char"/>
    <w:basedOn w:val="16"/>
    <w:link w:val="7"/>
    <w:semiHidden/>
    <w:qFormat/>
    <w:uiPriority w:val="99"/>
    <w:rPr>
      <w:rFonts w:ascii="Times New Roman" w:hAnsi="Times New Roman" w:eastAsia="宋体" w:cs="Times New Roman"/>
      <w:sz w:val="24"/>
      <w:szCs w:val="28"/>
    </w:rPr>
  </w:style>
  <w:style w:type="character" w:customStyle="1" w:styleId="22">
    <w:name w:val="标题 4 Char"/>
    <w:basedOn w:val="16"/>
    <w:link w:val="5"/>
    <w:semiHidden/>
    <w:uiPriority w:val="9"/>
    <w:rPr>
      <w:rFonts w:asciiTheme="majorHAnsi" w:hAnsiTheme="majorHAnsi" w:eastAsiaTheme="majorEastAsia" w:cstheme="majorBidi"/>
      <w:b/>
      <w:bCs/>
      <w:sz w:val="28"/>
      <w:szCs w:val="28"/>
    </w:rPr>
  </w:style>
  <w:style w:type="character" w:customStyle="1" w:styleId="23">
    <w:name w:val="纯文本 Char"/>
    <w:basedOn w:val="16"/>
    <w:link w:val="6"/>
    <w:qFormat/>
    <w:uiPriority w:val="99"/>
    <w:rPr>
      <w:rFonts w:ascii="宋体" w:hAnsi="Courier New" w:eastAsia="宋体" w:cs="Times New Roman"/>
      <w:sz w:val="24"/>
      <w:szCs w:val="20"/>
    </w:rPr>
  </w:style>
  <w:style w:type="character" w:customStyle="1" w:styleId="24">
    <w:name w:val="页眉 Char"/>
    <w:basedOn w:val="16"/>
    <w:link w:val="10"/>
    <w:qFormat/>
    <w:uiPriority w:val="99"/>
    <w:rPr>
      <w:rFonts w:ascii="Times New Roman" w:hAnsi="Times New Roman" w:eastAsia="宋体" w:cs="Times New Roman"/>
      <w:sz w:val="18"/>
      <w:szCs w:val="18"/>
    </w:rPr>
  </w:style>
  <w:style w:type="character" w:customStyle="1" w:styleId="25">
    <w:name w:val="页脚 Char"/>
    <w:basedOn w:val="16"/>
    <w:link w:val="9"/>
    <w:qFormat/>
    <w:uiPriority w:val="99"/>
    <w:rPr>
      <w:rFonts w:ascii="Times New Roman" w:hAnsi="Times New Roman" w:eastAsia="宋体" w:cs="Times New Roman"/>
      <w:sz w:val="18"/>
      <w:szCs w:val="18"/>
    </w:rPr>
  </w:style>
  <w:style w:type="paragraph" w:customStyle="1" w:styleId="26">
    <w:name w:val="注：（正文）"/>
    <w:basedOn w:val="1"/>
    <w:next w:val="1"/>
    <w:uiPriority w:val="0"/>
    <w:pPr>
      <w:numPr>
        <w:ilvl w:val="0"/>
        <w:numId w:val="1"/>
      </w:numPr>
      <w:autoSpaceDE w:val="0"/>
      <w:autoSpaceDN w:val="0"/>
      <w:spacing w:afterLines="0" w:line="240" w:lineRule="auto"/>
    </w:pPr>
    <w:rPr>
      <w:rFonts w:ascii="宋体"/>
      <w:kern w:val="0"/>
      <w:sz w:val="18"/>
      <w:szCs w:val="18"/>
    </w:rPr>
  </w:style>
  <w:style w:type="character" w:customStyle="1" w:styleId="27">
    <w:name w:val="批注框文本 Char"/>
    <w:basedOn w:val="16"/>
    <w:link w:val="8"/>
    <w:semiHidden/>
    <w:qFormat/>
    <w:uiPriority w:val="99"/>
    <w:rPr>
      <w:rFonts w:ascii="Times New Roman" w:hAnsi="Times New Roman" w:eastAsia="宋体" w:cs="Times New Roman"/>
      <w:sz w:val="18"/>
      <w:szCs w:val="18"/>
    </w:rPr>
  </w:style>
  <w:style w:type="character" w:customStyle="1" w:styleId="28">
    <w:name w:val="标题 3 Char"/>
    <w:basedOn w:val="16"/>
    <w:link w:val="4"/>
    <w:semiHidden/>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2.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1.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pn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jpeg"/><Relationship Id="rId5" Type="http://schemas.openxmlformats.org/officeDocument/2006/relationships/header" Target="head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B1AED3-92BB-4AEA-92DD-6731C512D56D}">
  <ds:schemaRefs/>
</ds:datastoreItem>
</file>

<file path=docProps/app.xml><?xml version="1.0" encoding="utf-8"?>
<Properties xmlns="http://schemas.openxmlformats.org/officeDocument/2006/extended-properties" xmlns:vt="http://schemas.openxmlformats.org/officeDocument/2006/docPropsVTypes">
  <Template>Normal</Template>
  <Company>fzghy</Company>
  <Pages>47</Pages>
  <Words>2484</Words>
  <Characters>14163</Characters>
  <Lines>118</Lines>
  <Paragraphs>33</Paragraphs>
  <TotalTime>81</TotalTime>
  <ScaleCrop>false</ScaleCrop>
  <LinksUpToDate>false</LinksUpToDate>
  <CharactersWithSpaces>16614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2019-04-14T03:42:00Z</dcterms:created>
  <dc:creator>傅大宝</dc:creator>
  <cp:lastModifiedBy>Administrator</cp:lastModifiedBy>
  <cp:lastPrinted>2019-04-10T09:29:00Z</cp:lastPrinted>
  <dcterms:modified xsi:type="dcterms:W3CDTF">2019-06-11T01:09:44Z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